
<file path=[Content_Types].xml><?xml version="1.0" encoding="utf-8"?>
<Types xmlns="http://schemas.openxmlformats.org/package/2006/content-types">
  <Default ContentType="image/png" Extension="png"/>
  <Default ContentType="image/x-wmf" Extension="w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ind/>
        <w:jc w:val="center"/>
      </w:pPr>
      <w:r>
        <w:drawing>
          <wp:inline>
            <wp:extent cx="1020445" cy="114388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1020445" cy="1143889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</w:p>
    <w:p w14:paraId="14000000">
      <w:pPr>
        <w:ind/>
        <w:jc w:val="center"/>
      </w:pPr>
    </w:p>
    <w:p w14:paraId="15000000">
      <w:pPr>
        <w:ind/>
        <w:jc w:val="center"/>
        <w:rPr>
          <w:b w:val="1"/>
          <w:sz w:val="40"/>
        </w:rPr>
      </w:pPr>
      <w:r>
        <w:rPr>
          <w:b w:val="1"/>
          <w:sz w:val="40"/>
        </w:rPr>
        <w:t>АДМИНИСТРАЦИЯ</w:t>
      </w:r>
    </w:p>
    <w:p w14:paraId="16000000">
      <w:pPr>
        <w:ind/>
        <w:jc w:val="center"/>
        <w:rPr>
          <w:b w:val="1"/>
          <w:sz w:val="40"/>
        </w:rPr>
      </w:pPr>
      <w:r>
        <w:rPr>
          <w:b w:val="1"/>
          <w:sz w:val="40"/>
        </w:rPr>
        <w:t>ГОРШЕЧЕНСКОГО РАЙОНА</w:t>
      </w:r>
    </w:p>
    <w:p w14:paraId="17000000">
      <w:pPr>
        <w:ind/>
        <w:jc w:val="center"/>
        <w:rPr>
          <w:b w:val="1"/>
          <w:sz w:val="40"/>
        </w:rPr>
      </w:pPr>
      <w:r>
        <w:rPr>
          <w:b w:val="1"/>
          <w:sz w:val="40"/>
        </w:rPr>
        <w:t>КУРСКОЙ ОБЛАСТИ</w:t>
      </w:r>
    </w:p>
    <w:p w14:paraId="18000000">
      <w:pPr>
        <w:ind/>
        <w:jc w:val="center"/>
        <w:rPr>
          <w:b w:val="1"/>
          <w:sz w:val="20"/>
        </w:rPr>
      </w:pPr>
    </w:p>
    <w:p w14:paraId="19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П О С Т А Н О В Л Е Н И Е</w:t>
      </w:r>
    </w:p>
    <w:p w14:paraId="1A000000">
      <w:pPr>
        <w:ind/>
        <w:jc w:val="center"/>
        <w:rPr>
          <w:b w:val="1"/>
          <w:sz w:val="20"/>
        </w:rPr>
      </w:pPr>
    </w:p>
    <w:p w14:paraId="1B000000">
      <w:pPr>
        <w:ind/>
        <w:jc w:val="center"/>
      </w:pPr>
      <w:r>
        <w:t xml:space="preserve">от </w:t>
      </w:r>
      <w:r>
        <w:t>_</w:t>
      </w:r>
      <w:r>
        <w:t>________________</w:t>
      </w:r>
      <w:r>
        <w:t xml:space="preserve">_ </w:t>
      </w:r>
      <w:r>
        <w:t xml:space="preserve">№ </w:t>
      </w:r>
      <w:r>
        <w:t>_</w:t>
      </w:r>
      <w:r>
        <w:t>_______</w:t>
      </w:r>
      <w:r>
        <w:t>_</w:t>
      </w:r>
    </w:p>
    <w:p w14:paraId="1C000000">
      <w:pPr>
        <w:ind/>
        <w:jc w:val="center"/>
        <w:rPr>
          <w:b w:val="1"/>
          <w:sz w:val="28"/>
        </w:rPr>
      </w:pPr>
    </w:p>
    <w:p w14:paraId="1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изменений в муниципальную программу</w:t>
      </w:r>
    </w:p>
    <w:p w14:paraId="1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>«</w:t>
      </w:r>
      <w:r>
        <w:rPr>
          <w:b w:val="1"/>
          <w:sz w:val="28"/>
        </w:rPr>
        <w:t xml:space="preserve">Комплексное развитие сельских территорий </w:t>
      </w:r>
    </w:p>
    <w:p w14:paraId="1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Горшеченского района Курской области</w:t>
      </w:r>
      <w:r>
        <w:rPr>
          <w:b w:val="1"/>
          <w:sz w:val="28"/>
        </w:rPr>
        <w:t>»</w:t>
      </w:r>
    </w:p>
    <w:p w14:paraId="20000000">
      <w:pPr>
        <w:ind/>
        <w:jc w:val="center"/>
        <w:rPr>
          <w:b w:val="1"/>
          <w:color w:val="000000"/>
          <w:sz w:val="28"/>
        </w:rPr>
      </w:pPr>
    </w:p>
    <w:p w14:paraId="21000000">
      <w:pPr>
        <w:ind w:firstLine="708" w:left="0" w:right="-285"/>
        <w:jc w:val="both"/>
        <w:rPr>
          <w:sz w:val="28"/>
        </w:rPr>
      </w:pPr>
      <w:r>
        <w:rPr>
          <w:sz w:val="28"/>
        </w:rPr>
        <w:t xml:space="preserve">На основании статьи 179 Бюджетного кодекса Российской Федерации и в соответствии со статьей 20 Положения о бюджетном процессе в муниципальном </w:t>
      </w:r>
      <w:r>
        <w:rPr>
          <w:sz w:val="28"/>
        </w:rPr>
        <w:t>образовании</w:t>
      </w:r>
      <w:r>
        <w:rPr>
          <w:sz w:val="28"/>
        </w:rPr>
        <w:t xml:space="preserve"> «Горшеченский муниципальный</w:t>
      </w:r>
      <w:r>
        <w:rPr>
          <w:sz w:val="28"/>
        </w:rPr>
        <w:t xml:space="preserve"> </w:t>
      </w:r>
      <w:r>
        <w:rPr>
          <w:sz w:val="28"/>
        </w:rPr>
        <w:t>район» Курской области, утвержденного решением Представительного Собрания Горшеченского района Курской области от 07.12.2010</w:t>
      </w:r>
      <w:r>
        <w:rPr>
          <w:sz w:val="28"/>
        </w:rPr>
        <w:t xml:space="preserve"> </w:t>
      </w:r>
      <w:r>
        <w:rPr>
          <w:sz w:val="28"/>
        </w:rPr>
        <w:t>г. № 63 (в редакции от 28.02.2014г. №242), Администрация Горшеченского района Курской области</w:t>
      </w:r>
    </w:p>
    <w:p w14:paraId="22000000">
      <w:pPr>
        <w:ind w:firstLine="708" w:left="0" w:right="-285"/>
        <w:jc w:val="both"/>
        <w:rPr>
          <w:sz w:val="28"/>
        </w:rPr>
      </w:pPr>
    </w:p>
    <w:p w14:paraId="23000000">
      <w:pPr>
        <w:ind w:right="-285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24000000">
      <w:pPr>
        <w:ind w:right="-285"/>
        <w:jc w:val="center"/>
        <w:rPr>
          <w:b w:val="1"/>
          <w:sz w:val="28"/>
        </w:rPr>
      </w:pPr>
    </w:p>
    <w:p w14:paraId="25000000">
      <w:pPr>
        <w:numPr>
          <w:ilvl w:val="0"/>
          <w:numId w:val="1"/>
        </w:numPr>
        <w:ind w:right="-285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униципальную программу «</w:t>
      </w:r>
      <w:r>
        <w:rPr>
          <w:sz w:val="28"/>
        </w:rPr>
        <w:t>Комплексное развитие сельских территорий Горшеченского района Курской области</w:t>
      </w:r>
      <w:r>
        <w:rPr>
          <w:sz w:val="28"/>
        </w:rPr>
        <w:t>»</w:t>
      </w:r>
      <w:r>
        <w:rPr>
          <w:sz w:val="28"/>
        </w:rPr>
        <w:t>, утвержденную постановлением Администрации Горшеченского района Курской области от 16.03.2020 года № 130 (с изменениями и дополнениями)  изложить в новой редакции (прилагается).</w:t>
      </w:r>
    </w:p>
    <w:p w14:paraId="26000000">
      <w:pPr>
        <w:numPr>
          <w:ilvl w:val="0"/>
          <w:numId w:val="1"/>
        </w:numPr>
        <w:ind w:right="-285"/>
        <w:jc w:val="both"/>
        <w:rPr>
          <w:sz w:val="28"/>
        </w:rPr>
      </w:pPr>
      <w:r>
        <w:rPr>
          <w:sz w:val="28"/>
        </w:rPr>
        <w:t xml:space="preserve">Установить, что в ходе реализации программы отдельные мероприятия могут уточняться, а объемы их финансирования корректироваться с учетом утвержденных расходов бюджета муниципального </w:t>
      </w:r>
      <w:r>
        <w:rPr>
          <w:sz w:val="28"/>
        </w:rPr>
        <w:t>образования</w:t>
      </w:r>
      <w:r>
        <w:rPr>
          <w:sz w:val="28"/>
        </w:rPr>
        <w:t xml:space="preserve"> «Горшеченский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район».</w:t>
      </w:r>
    </w:p>
    <w:p w14:paraId="27000000">
      <w:pPr>
        <w:numPr>
          <w:ilvl w:val="0"/>
          <w:numId w:val="1"/>
        </w:numPr>
        <w:ind w:right="-285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первого заместителя Главы Администрации Горшеченского района  Курской области </w:t>
      </w:r>
      <w:r>
        <w:rPr>
          <w:sz w:val="28"/>
        </w:rPr>
        <w:t>С.С.Жемчужникова</w:t>
      </w:r>
      <w:r>
        <w:rPr>
          <w:sz w:val="28"/>
        </w:rPr>
        <w:t>.</w:t>
      </w:r>
    </w:p>
    <w:p w14:paraId="28000000">
      <w:pPr>
        <w:numPr>
          <w:ilvl w:val="0"/>
          <w:numId w:val="1"/>
        </w:numPr>
        <w:ind w:right="-285"/>
        <w:jc w:val="both"/>
        <w:rPr>
          <w:b w:val="1"/>
          <w:sz w:val="28"/>
        </w:rPr>
      </w:pPr>
      <w:r>
        <w:rPr>
          <w:sz w:val="28"/>
        </w:rPr>
        <w:t xml:space="preserve">Настоящее постановление вступает в силу со дня </w:t>
      </w:r>
      <w:r>
        <w:rPr>
          <w:sz w:val="28"/>
        </w:rPr>
        <w:t xml:space="preserve">его </w:t>
      </w:r>
      <w:r>
        <w:rPr>
          <w:sz w:val="28"/>
        </w:rPr>
        <w:t xml:space="preserve">подписания и </w:t>
      </w:r>
      <w:r>
        <w:rPr>
          <w:sz w:val="28"/>
        </w:rPr>
        <w:t>подлежит размещению</w:t>
      </w:r>
      <w:r>
        <w:rPr>
          <w:sz w:val="28"/>
        </w:rPr>
        <w:t xml:space="preserve"> в информационно-телекоммуникационной сети «Интернет» на официальном сайте муниципального образования «Горшеченский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район»</w:t>
      </w:r>
      <w:r>
        <w:rPr>
          <w:sz w:val="28"/>
        </w:rPr>
        <w:t xml:space="preserve"> Курской области.</w:t>
      </w:r>
    </w:p>
    <w:p w14:paraId="29000000">
      <w:pPr>
        <w:ind w:firstLine="0" w:left="720" w:right="-285"/>
        <w:jc w:val="both"/>
        <w:rPr>
          <w:sz w:val="28"/>
        </w:rPr>
      </w:pPr>
    </w:p>
    <w:p w14:paraId="2A000000">
      <w:pPr>
        <w:ind w:right="-285"/>
        <w:jc w:val="both"/>
        <w:rPr>
          <w:b w:val="1"/>
          <w:sz w:val="28"/>
        </w:rPr>
      </w:pPr>
    </w:p>
    <w:p w14:paraId="2B000000">
      <w:pPr>
        <w:ind w:right="-285"/>
        <w:jc w:val="both"/>
        <w:rPr>
          <w:b w:val="1"/>
          <w:sz w:val="28"/>
        </w:rPr>
      </w:pPr>
      <w:r>
        <w:rPr>
          <w:b w:val="1"/>
          <w:sz w:val="28"/>
        </w:rPr>
        <w:t xml:space="preserve"> Глава Горшеченского района        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>А</w:t>
      </w:r>
      <w:r>
        <w:rPr>
          <w:b w:val="1"/>
          <w:sz w:val="28"/>
        </w:rPr>
        <w:t>.М. Амерев</w:t>
      </w:r>
    </w:p>
    <w:p w14:paraId="2C000000">
      <w:pPr>
        <w:ind/>
        <w:jc w:val="both"/>
        <w:rPr>
          <w:b w:val="1"/>
          <w:sz w:val="28"/>
        </w:rPr>
      </w:pPr>
    </w:p>
    <w:p w14:paraId="2D000000">
      <w:pPr>
        <w:ind/>
        <w:jc w:val="both"/>
        <w:rPr>
          <w:b w:val="1"/>
          <w:sz w:val="28"/>
        </w:rPr>
      </w:pPr>
    </w:p>
    <w:p w14:paraId="2E000000">
      <w:pPr>
        <w:ind/>
        <w:jc w:val="both"/>
        <w:rPr>
          <w:b w:val="1"/>
          <w:sz w:val="28"/>
        </w:rPr>
      </w:pPr>
    </w:p>
    <w:p w14:paraId="2F000000">
      <w:pPr>
        <w:ind/>
        <w:jc w:val="both"/>
        <w:rPr>
          <w:b w:val="1"/>
          <w:sz w:val="28"/>
        </w:rPr>
      </w:pPr>
    </w:p>
    <w:p w14:paraId="30000000">
      <w:pPr>
        <w:ind/>
        <w:jc w:val="both"/>
        <w:rPr>
          <w:b w:val="1"/>
          <w:sz w:val="28"/>
        </w:rPr>
      </w:pPr>
    </w:p>
    <w:p w14:paraId="31000000">
      <w:pPr>
        <w:ind/>
        <w:jc w:val="center"/>
        <w:rPr>
          <w:b w:val="1"/>
        </w:rPr>
      </w:pPr>
    </w:p>
    <w:p w14:paraId="32000000">
      <w:pPr>
        <w:ind/>
        <w:jc w:val="center"/>
        <w:rPr>
          <w:b w:val="1"/>
        </w:rPr>
      </w:pPr>
    </w:p>
    <w:p w14:paraId="33000000">
      <w:pPr>
        <w:ind/>
        <w:jc w:val="center"/>
        <w:rPr>
          <w:b w:val="1"/>
        </w:rPr>
      </w:pPr>
    </w:p>
    <w:p w14:paraId="34000000">
      <w:pPr>
        <w:ind/>
        <w:jc w:val="center"/>
        <w:rPr>
          <w:b w:val="1"/>
        </w:rPr>
      </w:pPr>
    </w:p>
    <w:p w14:paraId="35000000">
      <w:pPr>
        <w:ind/>
        <w:jc w:val="center"/>
        <w:rPr>
          <w:b w:val="1"/>
        </w:rPr>
      </w:pPr>
    </w:p>
    <w:p w14:paraId="36000000">
      <w:pPr>
        <w:ind/>
        <w:jc w:val="center"/>
        <w:rPr>
          <w:b w:val="1"/>
        </w:rPr>
      </w:pPr>
    </w:p>
    <w:p w14:paraId="37000000">
      <w:pPr>
        <w:ind/>
        <w:jc w:val="center"/>
        <w:rPr>
          <w:b w:val="1"/>
        </w:rPr>
      </w:pPr>
    </w:p>
    <w:p w14:paraId="38000000">
      <w:pPr>
        <w:ind/>
        <w:jc w:val="center"/>
        <w:rPr>
          <w:b w:val="1"/>
        </w:rPr>
      </w:pPr>
    </w:p>
    <w:p w14:paraId="39000000">
      <w:pPr>
        <w:ind/>
        <w:jc w:val="center"/>
        <w:rPr>
          <w:b w:val="1"/>
        </w:rPr>
      </w:pPr>
    </w:p>
    <w:p w14:paraId="3A000000">
      <w:pPr>
        <w:ind/>
        <w:jc w:val="center"/>
        <w:rPr>
          <w:b w:val="1"/>
        </w:rPr>
      </w:pPr>
    </w:p>
    <w:p w14:paraId="3B000000">
      <w:pPr>
        <w:ind/>
        <w:jc w:val="center"/>
        <w:rPr>
          <w:b w:val="1"/>
        </w:rPr>
      </w:pPr>
      <w:r>
        <w:rPr>
          <w:b w:val="1"/>
        </w:rPr>
        <w:t>ПОСТАНОВЛЕНИЕ</w:t>
      </w:r>
    </w:p>
    <w:p w14:paraId="3C000000">
      <w:pPr>
        <w:ind/>
        <w:jc w:val="center"/>
        <w:rPr>
          <w:b w:val="1"/>
        </w:rPr>
      </w:pPr>
    </w:p>
    <w:p w14:paraId="3D000000">
      <w:pPr>
        <w:ind/>
        <w:jc w:val="center"/>
        <w:rPr>
          <w:b w:val="1"/>
        </w:rPr>
      </w:pPr>
      <w:r>
        <w:rPr>
          <w:b w:val="1"/>
        </w:rPr>
        <w:t>О внесении изменений в муниципальную программу «Комплексное развитие сельских территорий  Горшеченского района Курской области»</w:t>
      </w:r>
    </w:p>
    <w:p w14:paraId="3E000000">
      <w:pPr>
        <w:ind/>
        <w:jc w:val="center"/>
        <w:rPr>
          <w:b w:val="1"/>
        </w:rPr>
      </w:pPr>
    </w:p>
    <w:p w14:paraId="3F000000">
      <w:pPr>
        <w:ind/>
        <w:jc w:val="center"/>
        <w:rPr>
          <w:b w:val="1"/>
        </w:rPr>
      </w:pPr>
      <w:r>
        <w:rPr>
          <w:b w:val="1"/>
        </w:rPr>
        <w:t>СОГЛАСОВАНО:</w:t>
      </w:r>
    </w:p>
    <w:p w14:paraId="40000000">
      <w:pPr>
        <w:ind w:right="-2"/>
        <w:jc w:val="center"/>
      </w:pPr>
    </w:p>
    <w:tbl>
      <w:tblPr>
        <w:tblStyle w:val="Style_4"/>
        <w:tblW w:type="auto" w:w="0"/>
        <w:tblInd w:type="dxa" w:w="-43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7"/>
        <w:gridCol w:w="4958"/>
        <w:gridCol w:w="2693"/>
        <w:gridCol w:w="1559"/>
      </w:tblGrid>
      <w:t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Дата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Должность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Фамилия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Подпись</w:t>
            </w:r>
          </w:p>
        </w:tc>
      </w:tr>
      <w:tr>
        <w:trPr>
          <w:trHeight w:hRule="atLeast" w:val="874"/>
        </w:trP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</w:pPr>
            <w:r>
              <w:t>1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</w:pPr>
            <w:r>
              <w:t xml:space="preserve">Первый заместитель </w:t>
            </w:r>
          </w:p>
          <w:p w14:paraId="47000000">
            <w:pPr>
              <w:ind/>
              <w:jc w:val="center"/>
            </w:pPr>
            <w:r>
              <w:t>Главы Администрации   Горшеченского района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С.С.Жемчужников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</w:pPr>
          </w:p>
        </w:tc>
      </w:tr>
      <w:tr>
        <w:trPr>
          <w:trHeight w:hRule="atLeast" w:val="1044"/>
        </w:trP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/>
              <w:jc w:val="center"/>
            </w:pPr>
            <w:r>
              <w:t>2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t>Заместитель Главы Администрации Горшеченского района – начальник управления финансов Администрации Горшеченского района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Г. Н. Дуракова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</w:p>
        </w:tc>
      </w:tr>
      <w:tr>
        <w:trPr>
          <w:trHeight w:hRule="atLeast" w:val="1019"/>
        </w:trP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</w:pPr>
            <w:r>
              <w:t>3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tabs>
                <w:tab w:leader="none" w:pos="840" w:val="left"/>
              </w:tabs>
              <w:ind/>
              <w:jc w:val="center"/>
              <w:rPr>
                <w:rStyle w:val="Style_5_ch"/>
                <w:color w:val="000000"/>
                <w:sz w:val="24"/>
              </w:rPr>
            </w:pPr>
            <w:r>
              <w:rPr>
                <w:rStyle w:val="Style_5_ch"/>
                <w:color w:val="000000"/>
                <w:sz w:val="24"/>
              </w:rPr>
              <w:t>Управляющий делами – начальник отдела организационной, кадровой и правовой работы Администрации Горшеченского района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О. И. Терских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ind/>
              <w:jc w:val="center"/>
            </w:pPr>
          </w:p>
        </w:tc>
      </w:tr>
      <w:tr>
        <w:trPr>
          <w:trHeight w:hRule="atLeast" w:val="1019"/>
        </w:trP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</w:pPr>
            <w:r>
              <w:t>4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 w:right="-143"/>
              <w:jc w:val="center"/>
              <w:rPr>
                <w:rStyle w:val="Style_5_ch"/>
                <w:color w:val="000000"/>
                <w:sz w:val="24"/>
              </w:rPr>
            </w:pPr>
            <w:r>
              <w:t>Н</w:t>
            </w:r>
            <w:r>
              <w:t>ачальник</w:t>
            </w:r>
            <w:r>
              <w:rPr>
                <w:b w:val="1"/>
              </w:rPr>
              <w:t xml:space="preserve">  </w:t>
            </w:r>
            <w:r>
              <w:t xml:space="preserve">управления   строительства, </w:t>
            </w:r>
            <w:r>
              <w:rPr>
                <w:b w:val="1"/>
              </w:rPr>
              <w:t xml:space="preserve"> </w:t>
            </w:r>
            <w:r>
              <w:t>архитектуры, ЖКХ, земельных и</w:t>
            </w:r>
            <w:r>
              <w:rPr>
                <w:b w:val="1"/>
              </w:rPr>
              <w:t xml:space="preserve">  </w:t>
            </w:r>
            <w:r>
              <w:t>имущественных правоотношений, охраны</w:t>
            </w:r>
            <w:r>
              <w:rPr>
                <w:b w:val="1"/>
              </w:rPr>
              <w:t xml:space="preserve">  </w:t>
            </w:r>
            <w:r>
              <w:t>окружающей среды, транспорта и связи</w:t>
            </w:r>
            <w:r>
              <w:rPr>
                <w:b w:val="1"/>
              </w:rPr>
              <w:t xml:space="preserve">  </w:t>
            </w:r>
            <w:r>
              <w:t>Администрации Горшеченского района</w:t>
            </w:r>
            <w:r>
              <w:rPr>
                <w:b w:val="1"/>
              </w:rPr>
              <w:t xml:space="preserve">  </w:t>
            </w:r>
            <w:r>
              <w:t>Курской области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В.А.Труфанов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</w:pPr>
          </w:p>
        </w:tc>
      </w:tr>
      <w:tr>
        <w:trPr>
          <w:trHeight w:hRule="atLeast" w:val="1137"/>
        </w:trPr>
        <w:tc>
          <w:tcPr>
            <w:tcW w:type="dxa" w:w="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5</w:t>
            </w:r>
          </w:p>
        </w:tc>
        <w:tc>
          <w:tcPr>
            <w:tcW w:type="dxa" w:w="4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ind/>
              <w:jc w:val="center"/>
            </w:pPr>
            <w:r>
              <w:t>Начальник юридического отдела Администрации Горшеченского района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ind/>
              <w:jc w:val="center"/>
            </w:pPr>
            <w:r>
              <w:rPr>
                <w:b w:val="1"/>
              </w:rPr>
              <w:t>Н.В.Куликовская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ind/>
              <w:jc w:val="center"/>
            </w:pPr>
          </w:p>
        </w:tc>
      </w:tr>
    </w:tbl>
    <w:p w14:paraId="5A000000">
      <w:pPr>
        <w:ind w:right="-143"/>
        <w:jc w:val="both"/>
      </w:pPr>
    </w:p>
    <w:p w14:paraId="5B000000">
      <w:pPr>
        <w:ind w:right="-143"/>
        <w:jc w:val="both"/>
        <w:rPr>
          <w:b w:val="1"/>
        </w:rPr>
      </w:pPr>
      <w:r>
        <w:t>Исполнитель: заместитель начальника</w:t>
      </w:r>
      <w:r>
        <w:rPr>
          <w:b w:val="1"/>
        </w:rPr>
        <w:t xml:space="preserve">  </w:t>
      </w:r>
      <w:r>
        <w:t xml:space="preserve">управления   строительства, </w:t>
      </w:r>
      <w:r>
        <w:rPr>
          <w:b w:val="1"/>
        </w:rPr>
        <w:t xml:space="preserve"> </w:t>
      </w:r>
      <w:r>
        <w:t>архитектуры, ЖКХ, земельных и</w:t>
      </w:r>
      <w:r>
        <w:rPr>
          <w:b w:val="1"/>
        </w:rPr>
        <w:t xml:space="preserve">  </w:t>
      </w:r>
      <w:r>
        <w:t>имущественных правоотношений, охраны</w:t>
      </w:r>
      <w:r>
        <w:rPr>
          <w:b w:val="1"/>
        </w:rPr>
        <w:t xml:space="preserve">  </w:t>
      </w:r>
      <w:r>
        <w:t>окружающей среды, транспорта и связи</w:t>
      </w:r>
      <w:r>
        <w:rPr>
          <w:b w:val="1"/>
        </w:rPr>
        <w:t xml:space="preserve">  </w:t>
      </w:r>
      <w:r>
        <w:t>Администрации Горшеченского района</w:t>
      </w:r>
      <w:r>
        <w:rPr>
          <w:b w:val="1"/>
        </w:rPr>
        <w:t xml:space="preserve">  </w:t>
      </w:r>
      <w:r>
        <w:t>Курской области</w:t>
      </w:r>
      <w:r>
        <w:rPr>
          <w:b w:val="1"/>
        </w:rPr>
        <w:t xml:space="preserve">       </w:t>
      </w:r>
    </w:p>
    <w:p w14:paraId="5C000000">
      <w:pPr>
        <w:ind w:right="-143"/>
        <w:jc w:val="both"/>
        <w:rPr>
          <w:b w:val="1"/>
          <w:color w:val="000000"/>
        </w:rPr>
      </w:pPr>
    </w:p>
    <w:p w14:paraId="5D000000">
      <w:pPr>
        <w:ind w:right="-143"/>
        <w:jc w:val="both"/>
      </w:pPr>
      <w:r>
        <w:rPr>
          <w:b w:val="1"/>
          <w:color w:val="000000"/>
        </w:rPr>
        <w:t xml:space="preserve">________________ </w:t>
      </w:r>
      <w:r>
        <w:rPr>
          <w:color w:val="000000"/>
        </w:rPr>
        <w:t>Н.В.Ерёменко</w:t>
      </w:r>
    </w:p>
    <w:p w14:paraId="5E000000">
      <w:pPr>
        <w:ind w:firstLine="0" w:left="-284" w:right="-143"/>
        <w:jc w:val="both"/>
        <w:rPr>
          <w:b w:val="1"/>
          <w:color w:val="000000"/>
        </w:rPr>
      </w:pPr>
    </w:p>
    <w:p w14:paraId="5F000000">
      <w:pPr>
        <w:ind/>
        <w:jc w:val="center"/>
        <w:rPr>
          <w:b w:val="1"/>
        </w:rPr>
      </w:pPr>
    </w:p>
    <w:p w14:paraId="60000000">
      <w:pPr>
        <w:ind/>
        <w:jc w:val="center"/>
        <w:rPr>
          <w:b w:val="1"/>
        </w:rPr>
      </w:pPr>
    </w:p>
    <w:p w14:paraId="61000000">
      <w:pPr>
        <w:ind/>
        <w:jc w:val="center"/>
        <w:rPr>
          <w:b w:val="1"/>
        </w:rPr>
      </w:pPr>
    </w:p>
    <w:p w14:paraId="62000000">
      <w:pPr>
        <w:ind/>
        <w:jc w:val="center"/>
        <w:rPr>
          <w:b w:val="1"/>
        </w:rPr>
      </w:pPr>
    </w:p>
    <w:p w14:paraId="63000000">
      <w:pPr>
        <w:ind/>
        <w:jc w:val="center"/>
        <w:rPr>
          <w:b w:val="1"/>
        </w:rPr>
      </w:pPr>
    </w:p>
    <w:p w14:paraId="64000000">
      <w:pPr>
        <w:ind/>
        <w:jc w:val="center"/>
        <w:rPr>
          <w:b w:val="1"/>
        </w:rPr>
      </w:pPr>
    </w:p>
    <w:p w14:paraId="65000000">
      <w:pPr>
        <w:ind/>
        <w:jc w:val="center"/>
        <w:rPr>
          <w:b w:val="1"/>
        </w:rPr>
      </w:pPr>
    </w:p>
    <w:p w14:paraId="66000000">
      <w:pPr>
        <w:ind/>
        <w:jc w:val="center"/>
        <w:rPr>
          <w:b w:val="1"/>
        </w:rPr>
      </w:pPr>
    </w:p>
    <w:p w14:paraId="67000000">
      <w:pPr>
        <w:ind/>
        <w:jc w:val="center"/>
        <w:rPr>
          <w:b w:val="1"/>
        </w:rPr>
      </w:pPr>
    </w:p>
    <w:p w14:paraId="68000000">
      <w:pPr>
        <w:ind/>
        <w:jc w:val="center"/>
        <w:rPr>
          <w:b w:val="1"/>
        </w:rPr>
      </w:pPr>
    </w:p>
    <w:p w14:paraId="69000000">
      <w:pPr>
        <w:ind/>
        <w:jc w:val="center"/>
        <w:rPr>
          <w:b w:val="1"/>
        </w:rPr>
      </w:pPr>
    </w:p>
    <w:p w14:paraId="6A000000">
      <w:pPr>
        <w:ind/>
        <w:jc w:val="center"/>
        <w:rPr>
          <w:b w:val="1"/>
        </w:rPr>
      </w:pPr>
    </w:p>
    <w:p w14:paraId="6B000000">
      <w:pPr>
        <w:ind/>
        <w:jc w:val="center"/>
        <w:rPr>
          <w:b w:val="1"/>
        </w:rPr>
      </w:pPr>
    </w:p>
    <w:p w14:paraId="6C000000">
      <w:pPr>
        <w:ind/>
        <w:jc w:val="center"/>
        <w:rPr>
          <w:b w:val="1"/>
        </w:rPr>
      </w:pPr>
    </w:p>
    <w:p w14:paraId="6D000000">
      <w:pPr>
        <w:ind/>
        <w:jc w:val="center"/>
        <w:rPr>
          <w:b w:val="1"/>
        </w:rPr>
      </w:pPr>
      <w:r>
        <w:rPr>
          <w:b w:val="1"/>
        </w:rPr>
        <w:t xml:space="preserve">АДМИНИСТРАЦИЯ ГОРШЕЧЕНСКОГО РАЙОНА </w:t>
      </w:r>
    </w:p>
    <w:p w14:paraId="6E000000">
      <w:pPr>
        <w:ind/>
        <w:jc w:val="center"/>
        <w:rPr>
          <w:b w:val="1"/>
        </w:rPr>
      </w:pPr>
      <w:r>
        <w:rPr>
          <w:b w:val="1"/>
        </w:rPr>
        <w:t xml:space="preserve">КУРСКОЙ ОБЛАСТИ </w:t>
      </w:r>
    </w:p>
    <w:p w14:paraId="6F000000">
      <w:pPr>
        <w:ind/>
        <w:jc w:val="center"/>
        <w:rPr>
          <w:b w:val="1"/>
        </w:rPr>
      </w:pPr>
    </w:p>
    <w:p w14:paraId="70000000">
      <w:pPr>
        <w:ind/>
        <w:jc w:val="center"/>
        <w:rPr>
          <w:b w:val="1"/>
        </w:rPr>
      </w:pPr>
      <w:r>
        <w:rPr>
          <w:b w:val="1"/>
        </w:rPr>
        <w:t>ЛИСТ СОГЛАСОВАНИЯ И РАССЫЛКИ</w:t>
      </w:r>
    </w:p>
    <w:p w14:paraId="71000000">
      <w:pPr>
        <w:ind/>
        <w:jc w:val="center"/>
        <w:rPr>
          <w:b w:val="1"/>
        </w:rPr>
      </w:pPr>
    </w:p>
    <w:p w14:paraId="72000000">
      <w:pPr>
        <w:ind/>
        <w:jc w:val="center"/>
        <w:rPr>
          <w:b w:val="1"/>
        </w:rPr>
      </w:pPr>
      <w:r>
        <w:rPr>
          <w:b w:val="1"/>
        </w:rPr>
        <w:t>РАСПОРЯЖЕНИЕ</w:t>
      </w:r>
    </w:p>
    <w:p w14:paraId="73000000">
      <w:pPr>
        <w:ind/>
        <w:jc w:val="center"/>
        <w:rPr>
          <w:b w:val="1"/>
        </w:rPr>
      </w:pPr>
    </w:p>
    <w:p w14:paraId="74000000">
      <w:pPr>
        <w:ind/>
        <w:jc w:val="center"/>
        <w:rPr>
          <w:b w:val="1"/>
        </w:rPr>
      </w:pPr>
      <w:r>
        <w:rPr>
          <w:b w:val="1"/>
        </w:rPr>
        <w:t>О внесении изменений в муниципальную программу «Комплексное развитие сельских территорий  Горшеченского района Курской области»</w:t>
      </w:r>
    </w:p>
    <w:p w14:paraId="75000000">
      <w:pPr>
        <w:ind/>
        <w:jc w:val="center"/>
        <w:rPr>
          <w:b w:val="1"/>
        </w:rPr>
      </w:pPr>
    </w:p>
    <w:p w14:paraId="76000000">
      <w:pPr>
        <w:ind/>
        <w:jc w:val="center"/>
        <w:rPr>
          <w:b w:val="1"/>
        </w:rPr>
      </w:pPr>
      <w:r>
        <w:rPr>
          <w:b w:val="1"/>
        </w:rPr>
        <w:t>от_____________________ №_____________</w:t>
      </w:r>
    </w:p>
    <w:p w14:paraId="77000000">
      <w:pPr>
        <w:ind/>
        <w:jc w:val="center"/>
        <w:rPr>
          <w:b w:val="1"/>
        </w:rPr>
      </w:pPr>
    </w:p>
    <w:p w14:paraId="78000000">
      <w:pPr>
        <w:tabs>
          <w:tab w:leader="none" w:pos="840" w:val="left"/>
        </w:tabs>
        <w:ind/>
        <w:rPr>
          <w:b w:val="1"/>
        </w:rPr>
      </w:pPr>
    </w:p>
    <w:p w14:paraId="79000000">
      <w:pPr>
        <w:ind w:firstLine="0" w:left="-284" w:right="-143"/>
        <w:jc w:val="both"/>
      </w:pPr>
      <w:r>
        <w:t xml:space="preserve">                   </w:t>
      </w:r>
    </w:p>
    <w:p w14:paraId="7A000000">
      <w:pPr>
        <w:ind w:firstLine="0" w:left="-284" w:right="-143"/>
        <w:jc w:val="both"/>
      </w:pPr>
    </w:p>
    <w:p w14:paraId="7B000000">
      <w:pPr>
        <w:ind/>
        <w:jc w:val="center"/>
        <w:rPr>
          <w:b w:val="1"/>
        </w:rPr>
      </w:pPr>
      <w:r>
        <w:rPr>
          <w:b w:val="1"/>
        </w:rPr>
        <w:t>РАЗОСЛАТЬ:</w:t>
      </w:r>
    </w:p>
    <w:p w14:paraId="7C000000"/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8647"/>
      </w:tblGrid>
      <w:tr>
        <w:trPr>
          <w:trHeight w:hRule="atLeast" w:val="283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numPr>
                <w:ilvl w:val="0"/>
                <w:numId w:val="2"/>
              </w:numPr>
              <w:ind/>
              <w:jc w:val="both"/>
            </w:pPr>
          </w:p>
        </w:tc>
        <w:tc>
          <w:tcPr>
            <w:tcW w:type="dxa" w:w="8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r>
              <w:t>Прокуратура Горшеченского района Курской области</w:t>
            </w:r>
          </w:p>
        </w:tc>
      </w:tr>
      <w:tr>
        <w:trPr>
          <w:trHeight w:hRule="atLeast" w:val="589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numPr>
                <w:ilvl w:val="0"/>
                <w:numId w:val="2"/>
              </w:numPr>
              <w:ind/>
              <w:jc w:val="both"/>
            </w:pPr>
          </w:p>
        </w:tc>
        <w:tc>
          <w:tcPr>
            <w:tcW w:type="dxa" w:w="8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r>
              <w:t>В дело</w:t>
            </w:r>
          </w:p>
        </w:tc>
      </w:tr>
      <w:tr>
        <w:trPr>
          <w:trHeight w:hRule="atLeast" w:val="589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numPr>
                <w:ilvl w:val="0"/>
                <w:numId w:val="2"/>
              </w:numPr>
              <w:ind/>
              <w:jc w:val="both"/>
            </w:pPr>
          </w:p>
        </w:tc>
        <w:tc>
          <w:tcPr>
            <w:tcW w:type="dxa" w:w="8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r>
              <w:t xml:space="preserve">Первый заместитель Главы Администрации Горшеченского района Курской области </w:t>
            </w:r>
            <w:r>
              <w:t>С.С.Жмчужников</w:t>
            </w:r>
          </w:p>
        </w:tc>
      </w:tr>
      <w:tr>
        <w:trPr>
          <w:trHeight w:hRule="atLeast" w:val="582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numPr>
                <w:ilvl w:val="0"/>
                <w:numId w:val="2"/>
              </w:numPr>
              <w:ind/>
              <w:jc w:val="both"/>
            </w:pPr>
          </w:p>
        </w:tc>
        <w:tc>
          <w:tcPr>
            <w:tcW w:type="dxa" w:w="8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 w:firstLine="0" w:left="34" w:right="69"/>
            </w:pPr>
            <w:r>
              <w:t xml:space="preserve">Управление  строительства, архитектуры, ЖКХ, земельных и имущественных правоотношений, охраны окружающей среды, транспорта и связи  Администрации Горшеченского района Курской области </w:t>
            </w:r>
          </w:p>
        </w:tc>
      </w:tr>
      <w:tr>
        <w:trPr>
          <w:trHeight w:hRule="atLeast" w:val="582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numPr>
                <w:ilvl w:val="0"/>
                <w:numId w:val="2"/>
              </w:numPr>
              <w:ind/>
              <w:jc w:val="both"/>
            </w:pPr>
          </w:p>
        </w:tc>
        <w:tc>
          <w:tcPr>
            <w:tcW w:type="dxa" w:w="8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 w:firstLine="0" w:left="34"/>
            </w:pPr>
          </w:p>
        </w:tc>
      </w:tr>
    </w:tbl>
    <w:p w14:paraId="87000000">
      <w:pPr>
        <w:rPr>
          <w:color w:val="FF0000"/>
        </w:rPr>
      </w:pPr>
    </w:p>
    <w:p w14:paraId="88000000">
      <w:r>
        <w:t>«____ » ___________   2026</w:t>
      </w:r>
      <w:r>
        <w:t xml:space="preserve"> г.                                        </w:t>
      </w:r>
    </w:p>
    <w:p w14:paraId="89000000">
      <w:pPr>
        <w:ind w:right="-568"/>
      </w:pPr>
    </w:p>
    <w:p w14:paraId="8A000000">
      <w:pPr>
        <w:ind w:right="-143"/>
        <w:jc w:val="both"/>
      </w:pPr>
    </w:p>
    <w:p w14:paraId="8B000000">
      <w:pPr>
        <w:ind w:right="-143"/>
        <w:jc w:val="both"/>
        <w:rPr>
          <w:b w:val="1"/>
        </w:rPr>
      </w:pPr>
      <w:r>
        <w:t>Исполнитель: заместитель начальника</w:t>
      </w:r>
      <w:r>
        <w:rPr>
          <w:b w:val="1"/>
        </w:rPr>
        <w:t xml:space="preserve">  </w:t>
      </w:r>
      <w:r>
        <w:t xml:space="preserve">управления   строительства, </w:t>
      </w:r>
      <w:r>
        <w:rPr>
          <w:b w:val="1"/>
        </w:rPr>
        <w:t xml:space="preserve"> </w:t>
      </w:r>
      <w:r>
        <w:t>архитектуры, ЖКХ, земельных и</w:t>
      </w:r>
      <w:r>
        <w:rPr>
          <w:b w:val="1"/>
        </w:rPr>
        <w:t xml:space="preserve">  </w:t>
      </w:r>
      <w:r>
        <w:t>имущественных правоотношений, охраны</w:t>
      </w:r>
      <w:r>
        <w:rPr>
          <w:b w:val="1"/>
        </w:rPr>
        <w:t xml:space="preserve">  </w:t>
      </w:r>
      <w:r>
        <w:t>окружающей среды, транспорта и связи</w:t>
      </w:r>
      <w:r>
        <w:rPr>
          <w:b w:val="1"/>
        </w:rPr>
        <w:t xml:space="preserve">  </w:t>
      </w:r>
      <w:r>
        <w:t>Администрации Горшеченского района</w:t>
      </w:r>
      <w:r>
        <w:rPr>
          <w:b w:val="1"/>
        </w:rPr>
        <w:t xml:space="preserve">  </w:t>
      </w:r>
      <w:r>
        <w:t>Курской области</w:t>
      </w:r>
      <w:r>
        <w:rPr>
          <w:b w:val="1"/>
        </w:rPr>
        <w:t xml:space="preserve">       </w:t>
      </w:r>
    </w:p>
    <w:p w14:paraId="8C000000">
      <w:pPr>
        <w:ind w:right="-143"/>
        <w:jc w:val="both"/>
        <w:rPr>
          <w:b w:val="1"/>
          <w:color w:val="000000"/>
        </w:rPr>
      </w:pPr>
    </w:p>
    <w:p w14:paraId="8D000000">
      <w:pPr>
        <w:ind w:right="-143"/>
        <w:jc w:val="both"/>
      </w:pPr>
      <w:r>
        <w:rPr>
          <w:b w:val="1"/>
          <w:color w:val="000000"/>
        </w:rPr>
        <w:t xml:space="preserve">________________ </w:t>
      </w:r>
      <w:r>
        <w:rPr>
          <w:color w:val="000000"/>
        </w:rPr>
        <w:t>Н.В.Ерёменко</w:t>
      </w:r>
    </w:p>
    <w:p w14:paraId="8E000000">
      <w:pPr>
        <w:ind w:firstLine="0" w:left="-284" w:right="-143"/>
        <w:jc w:val="both"/>
        <w:rPr>
          <w:b w:val="1"/>
          <w:color w:val="000000"/>
        </w:rPr>
      </w:pPr>
    </w:p>
    <w:p w14:paraId="8F000000">
      <w:pPr>
        <w:ind/>
        <w:jc w:val="right"/>
        <w:rPr>
          <w:sz w:val="28"/>
        </w:rPr>
      </w:pPr>
      <w:r>
        <w:br w:type="page"/>
      </w:r>
      <w:r>
        <w:rPr>
          <w:sz w:val="28"/>
        </w:rPr>
        <w:t>Утвержден</w:t>
      </w:r>
      <w:r>
        <w:rPr>
          <w:sz w:val="28"/>
        </w:rPr>
        <w:t>а</w:t>
      </w:r>
    </w:p>
    <w:p w14:paraId="90000000">
      <w:pPr>
        <w:ind/>
        <w:jc w:val="right"/>
        <w:rPr>
          <w:sz w:val="28"/>
        </w:rPr>
      </w:pPr>
      <w:r>
        <w:rPr>
          <w:sz w:val="28"/>
        </w:rPr>
        <w:t>п</w:t>
      </w:r>
      <w:r>
        <w:rPr>
          <w:sz w:val="28"/>
        </w:rPr>
        <w:t>остановлением</w:t>
      </w:r>
      <w:r>
        <w:rPr>
          <w:sz w:val="28"/>
        </w:rPr>
        <w:t xml:space="preserve"> Администрации </w:t>
      </w:r>
    </w:p>
    <w:p w14:paraId="91000000">
      <w:pPr>
        <w:ind/>
        <w:jc w:val="right"/>
        <w:rPr>
          <w:sz w:val="28"/>
        </w:rPr>
      </w:pPr>
      <w:r>
        <w:rPr>
          <w:sz w:val="28"/>
        </w:rPr>
        <w:t xml:space="preserve">Горшеченского района </w:t>
      </w:r>
    </w:p>
    <w:p w14:paraId="92000000">
      <w:pPr>
        <w:ind/>
        <w:jc w:val="right"/>
        <w:rPr>
          <w:sz w:val="28"/>
        </w:rPr>
      </w:pPr>
      <w:r>
        <w:rPr>
          <w:sz w:val="28"/>
        </w:rPr>
        <w:t>Курской области</w:t>
      </w:r>
    </w:p>
    <w:p w14:paraId="93000000">
      <w:pPr>
        <w:ind w:firstLine="0" w:left="4678" w:right="-165"/>
        <w:jc w:val="right"/>
      </w:pPr>
      <w:r>
        <w:t>от</w:t>
      </w:r>
      <w:r>
        <w:t xml:space="preserve">  </w:t>
      </w:r>
      <w:r>
        <w:t>_____</w:t>
      </w:r>
      <w:r>
        <w:t>__</w:t>
      </w:r>
      <w:r>
        <w:t xml:space="preserve">_________   </w:t>
      </w:r>
      <w:r>
        <w:t xml:space="preserve">№ </w:t>
      </w:r>
      <w:r>
        <w:t>_</w:t>
      </w:r>
      <w:r>
        <w:t>___</w:t>
      </w:r>
      <w:r>
        <w:t>___</w:t>
      </w:r>
      <w:r>
        <w:t>_</w:t>
      </w:r>
    </w:p>
    <w:p w14:paraId="94000000">
      <w:pPr>
        <w:ind w:right="-165"/>
        <w:jc w:val="right"/>
        <w:rPr>
          <w:sz w:val="28"/>
        </w:rPr>
      </w:pPr>
    </w:p>
    <w:p w14:paraId="95000000">
      <w:pPr>
        <w:ind w:right="-165"/>
        <w:jc w:val="right"/>
        <w:rPr>
          <w:sz w:val="28"/>
        </w:rPr>
      </w:pPr>
    </w:p>
    <w:p w14:paraId="96000000">
      <w:pPr>
        <w:ind w:right="-165"/>
        <w:jc w:val="right"/>
        <w:rPr>
          <w:sz w:val="28"/>
        </w:rPr>
      </w:pPr>
    </w:p>
    <w:p w14:paraId="97000000">
      <w:pPr>
        <w:ind w:right="-165"/>
        <w:jc w:val="right"/>
        <w:rPr>
          <w:sz w:val="28"/>
        </w:rPr>
      </w:pPr>
    </w:p>
    <w:p w14:paraId="98000000">
      <w:pPr>
        <w:ind w:right="-165"/>
        <w:jc w:val="right"/>
        <w:rPr>
          <w:sz w:val="28"/>
        </w:rPr>
      </w:pPr>
    </w:p>
    <w:p w14:paraId="99000000">
      <w:pPr>
        <w:ind w:right="-165"/>
        <w:jc w:val="right"/>
        <w:rPr>
          <w:sz w:val="28"/>
        </w:rPr>
      </w:pPr>
    </w:p>
    <w:p w14:paraId="9A000000">
      <w:pPr>
        <w:ind w:right="-165"/>
        <w:jc w:val="right"/>
        <w:rPr>
          <w:sz w:val="28"/>
        </w:rPr>
      </w:pPr>
    </w:p>
    <w:p w14:paraId="9B000000">
      <w:pPr>
        <w:ind w:right="-165"/>
        <w:jc w:val="right"/>
        <w:rPr>
          <w:sz w:val="28"/>
        </w:rPr>
      </w:pPr>
    </w:p>
    <w:p w14:paraId="9C000000">
      <w:pPr>
        <w:ind w:right="-165"/>
        <w:jc w:val="right"/>
        <w:rPr>
          <w:sz w:val="28"/>
        </w:rPr>
      </w:pPr>
    </w:p>
    <w:p w14:paraId="9D000000">
      <w:pPr>
        <w:ind w:right="-165"/>
        <w:jc w:val="center"/>
        <w:rPr>
          <w:b w:val="1"/>
          <w:sz w:val="16"/>
        </w:rPr>
      </w:pPr>
    </w:p>
    <w:p w14:paraId="9E000000">
      <w:pPr>
        <w:pStyle w:val="Style_6"/>
        <w:ind w:right="-165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МУНИЦИПАЛЬНАЯ ПРОГРАММА «</w:t>
      </w:r>
      <w:r>
        <w:rPr>
          <w:rFonts w:ascii="Times New Roman" w:hAnsi="Times New Roman"/>
          <w:sz w:val="36"/>
        </w:rPr>
        <w:t xml:space="preserve">КОМПЛЕКСНОЕ РАЗВИТИЕ СЕЛЬСКИХ ТЕРРИТОРИЙ 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>Г</w:t>
      </w:r>
      <w:r>
        <w:rPr>
          <w:rFonts w:ascii="Times New Roman" w:hAnsi="Times New Roman"/>
          <w:sz w:val="36"/>
        </w:rPr>
        <w:t>ОРШЕЧЕНСКОГО</w:t>
      </w:r>
      <w:r>
        <w:rPr>
          <w:rFonts w:ascii="Times New Roman" w:hAnsi="Times New Roman"/>
          <w:sz w:val="36"/>
        </w:rPr>
        <w:t xml:space="preserve"> РАЙОНА</w:t>
      </w:r>
    </w:p>
    <w:p w14:paraId="9F000000">
      <w:pPr>
        <w:pStyle w:val="Style_6"/>
        <w:ind w:right="-165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К</w:t>
      </w:r>
      <w:r>
        <w:rPr>
          <w:rFonts w:ascii="Times New Roman" w:hAnsi="Times New Roman"/>
          <w:sz w:val="36"/>
        </w:rPr>
        <w:t>УРСКОЙ ОБЛАСТИ</w:t>
      </w:r>
      <w:r>
        <w:rPr>
          <w:rFonts w:ascii="Times New Roman" w:hAnsi="Times New Roman"/>
          <w:sz w:val="36"/>
        </w:rPr>
        <w:t>»</w:t>
      </w:r>
    </w:p>
    <w:p w14:paraId="A0000000">
      <w:pPr>
        <w:pStyle w:val="Style_6"/>
        <w:ind w:right="-165"/>
        <w:rPr>
          <w:rFonts w:ascii="Times New Roman" w:hAnsi="Times New Roman"/>
          <w:sz w:val="36"/>
        </w:rPr>
      </w:pPr>
    </w:p>
    <w:p w14:paraId="A1000000">
      <w:pPr>
        <w:ind w:right="-165"/>
        <w:jc w:val="center"/>
        <w:rPr>
          <w:b w:val="1"/>
          <w:sz w:val="28"/>
        </w:rPr>
      </w:pPr>
    </w:p>
    <w:p w14:paraId="A2000000">
      <w:pPr>
        <w:ind w:right="-165"/>
        <w:jc w:val="center"/>
        <w:rPr>
          <w:b w:val="1"/>
          <w:sz w:val="28"/>
        </w:rPr>
      </w:pPr>
    </w:p>
    <w:p w14:paraId="A3000000">
      <w:pPr>
        <w:ind w:right="-165"/>
        <w:jc w:val="center"/>
        <w:rPr>
          <w:b w:val="1"/>
          <w:sz w:val="28"/>
        </w:rPr>
      </w:pPr>
    </w:p>
    <w:p w14:paraId="A4000000">
      <w:pPr>
        <w:ind w:right="-165"/>
        <w:jc w:val="center"/>
        <w:rPr>
          <w:b w:val="1"/>
          <w:sz w:val="28"/>
        </w:rPr>
      </w:pPr>
    </w:p>
    <w:p w14:paraId="A5000000">
      <w:pPr>
        <w:ind w:right="-165"/>
        <w:jc w:val="center"/>
        <w:rPr>
          <w:b w:val="1"/>
          <w:sz w:val="28"/>
        </w:rPr>
      </w:pPr>
    </w:p>
    <w:p w14:paraId="A6000000">
      <w:pPr>
        <w:ind w:right="-165"/>
        <w:jc w:val="center"/>
        <w:rPr>
          <w:b w:val="1"/>
          <w:sz w:val="28"/>
        </w:rPr>
      </w:pPr>
    </w:p>
    <w:p w14:paraId="A7000000">
      <w:pPr>
        <w:ind w:right="-165"/>
        <w:jc w:val="center"/>
        <w:rPr>
          <w:b w:val="1"/>
          <w:sz w:val="28"/>
        </w:rPr>
      </w:pPr>
    </w:p>
    <w:p w14:paraId="A8000000">
      <w:pPr>
        <w:ind w:right="-165"/>
        <w:jc w:val="center"/>
        <w:rPr>
          <w:b w:val="1"/>
          <w:sz w:val="28"/>
        </w:rPr>
      </w:pPr>
    </w:p>
    <w:p w14:paraId="A9000000">
      <w:pPr>
        <w:ind w:right="-165"/>
        <w:jc w:val="center"/>
        <w:rPr>
          <w:b w:val="1"/>
          <w:sz w:val="28"/>
        </w:rPr>
      </w:pPr>
    </w:p>
    <w:p w14:paraId="AA000000">
      <w:pPr>
        <w:ind w:right="-165"/>
        <w:jc w:val="center"/>
        <w:rPr>
          <w:b w:val="1"/>
          <w:sz w:val="28"/>
        </w:rPr>
      </w:pPr>
    </w:p>
    <w:p w14:paraId="AB000000">
      <w:pPr>
        <w:ind w:right="-165"/>
        <w:jc w:val="center"/>
        <w:rPr>
          <w:b w:val="1"/>
          <w:sz w:val="28"/>
        </w:rPr>
      </w:pPr>
    </w:p>
    <w:p w14:paraId="AC000000">
      <w:pPr>
        <w:ind w:right="-165"/>
        <w:jc w:val="center"/>
        <w:rPr>
          <w:b w:val="1"/>
          <w:sz w:val="28"/>
        </w:rPr>
      </w:pPr>
    </w:p>
    <w:p w14:paraId="AD000000">
      <w:pPr>
        <w:ind w:right="-165"/>
        <w:jc w:val="center"/>
        <w:rPr>
          <w:b w:val="1"/>
          <w:sz w:val="28"/>
        </w:rPr>
      </w:pPr>
    </w:p>
    <w:p w14:paraId="AE000000">
      <w:pPr>
        <w:ind w:right="-165"/>
        <w:jc w:val="center"/>
        <w:rPr>
          <w:b w:val="1"/>
          <w:sz w:val="28"/>
        </w:rPr>
      </w:pPr>
    </w:p>
    <w:p w14:paraId="AF000000">
      <w:pPr>
        <w:ind w:right="-165"/>
        <w:jc w:val="center"/>
        <w:rPr>
          <w:b w:val="1"/>
          <w:sz w:val="28"/>
        </w:rPr>
      </w:pPr>
    </w:p>
    <w:p w14:paraId="B0000000">
      <w:pPr>
        <w:ind w:right="-165"/>
        <w:jc w:val="center"/>
        <w:rPr>
          <w:b w:val="1"/>
          <w:sz w:val="28"/>
        </w:rPr>
      </w:pPr>
    </w:p>
    <w:p w14:paraId="B1000000">
      <w:pPr>
        <w:ind w:right="-165"/>
        <w:jc w:val="center"/>
        <w:rPr>
          <w:b w:val="1"/>
          <w:sz w:val="28"/>
        </w:rPr>
      </w:pPr>
    </w:p>
    <w:p w14:paraId="B2000000">
      <w:pPr>
        <w:ind w:right="-165"/>
        <w:jc w:val="center"/>
        <w:rPr>
          <w:b w:val="1"/>
          <w:sz w:val="28"/>
        </w:rPr>
      </w:pPr>
    </w:p>
    <w:p w14:paraId="B3000000">
      <w:pPr>
        <w:ind w:right="-165"/>
        <w:jc w:val="center"/>
        <w:rPr>
          <w:b w:val="1"/>
          <w:sz w:val="28"/>
        </w:rPr>
      </w:pPr>
    </w:p>
    <w:p w14:paraId="B4000000">
      <w:pPr>
        <w:ind w:right="-165"/>
        <w:jc w:val="center"/>
        <w:rPr>
          <w:b w:val="1"/>
          <w:sz w:val="28"/>
        </w:rPr>
      </w:pPr>
    </w:p>
    <w:p w14:paraId="B5000000">
      <w:pPr>
        <w:ind w:right="-165"/>
        <w:jc w:val="center"/>
        <w:rPr>
          <w:b w:val="1"/>
          <w:sz w:val="28"/>
        </w:rPr>
      </w:pPr>
    </w:p>
    <w:p w14:paraId="B6000000">
      <w:pPr>
        <w:ind w:right="-165"/>
        <w:jc w:val="center"/>
        <w:rPr>
          <w:b w:val="1"/>
          <w:sz w:val="28"/>
        </w:rPr>
      </w:pPr>
    </w:p>
    <w:p w14:paraId="B7000000">
      <w:pPr>
        <w:ind w:right="-165"/>
        <w:jc w:val="center"/>
        <w:rPr>
          <w:b w:val="1"/>
          <w:sz w:val="28"/>
        </w:rPr>
      </w:pPr>
    </w:p>
    <w:p w14:paraId="B8000000">
      <w:pPr>
        <w:ind w:right="-165"/>
        <w:jc w:val="center"/>
        <w:rPr>
          <w:b w:val="1"/>
          <w:sz w:val="28"/>
        </w:rPr>
      </w:pPr>
    </w:p>
    <w:p w14:paraId="B900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2026 г.</w:t>
      </w:r>
    </w:p>
    <w:p w14:paraId="BA00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ПАСПОРТ</w:t>
      </w:r>
    </w:p>
    <w:p w14:paraId="BB00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муниципальной программы </w:t>
      </w:r>
      <w:r>
        <w:rPr>
          <w:b w:val="1"/>
          <w:sz w:val="28"/>
        </w:rPr>
        <w:br/>
      </w:r>
      <w:r>
        <w:rPr>
          <w:b w:val="1"/>
          <w:sz w:val="28"/>
        </w:rPr>
        <w:t>«</w:t>
      </w:r>
      <w:r>
        <w:rPr>
          <w:b w:val="1"/>
          <w:sz w:val="28"/>
        </w:rPr>
        <w:t>Комплексное развитие сельских территорий</w:t>
      </w:r>
      <w:r>
        <w:rPr>
          <w:b w:val="1"/>
          <w:sz w:val="28"/>
        </w:rPr>
        <w:t xml:space="preserve"> Горшечен</w:t>
      </w:r>
      <w:r>
        <w:rPr>
          <w:b w:val="1"/>
          <w:sz w:val="28"/>
        </w:rPr>
        <w:t xml:space="preserve">ского района </w:t>
      </w:r>
      <w:r>
        <w:rPr>
          <w:b w:val="1"/>
          <w:sz w:val="28"/>
        </w:rPr>
        <w:t>Курской области</w:t>
      </w:r>
      <w:r>
        <w:rPr>
          <w:b w:val="1"/>
          <w:sz w:val="28"/>
        </w:rPr>
        <w:t>»</w:t>
      </w:r>
      <w:r>
        <w:rPr>
          <w:b w:val="1"/>
          <w:sz w:val="28"/>
        </w:rPr>
        <w:t xml:space="preserve"> </w:t>
      </w:r>
    </w:p>
    <w:p w14:paraId="BC000000">
      <w:pPr>
        <w:ind w:right="-165"/>
        <w:jc w:val="center"/>
        <w:rPr>
          <w:b w:val="1"/>
          <w:sz w:val="28"/>
        </w:rPr>
      </w:pPr>
    </w:p>
    <w:tbl>
      <w:tblPr>
        <w:tblStyle w:val="Style_4"/>
        <w:tblW w:type="auto" w:w="0"/>
        <w:tblInd w:type="dxa" w:w="-252"/>
        <w:tblLayout w:type="fixed"/>
      </w:tblPr>
      <w:tblGrid>
        <w:gridCol w:w="3337"/>
        <w:gridCol w:w="6521"/>
      </w:tblGrid>
      <w:tr>
        <w:tc>
          <w:tcPr>
            <w:tcW w:type="dxa" w:w="3337"/>
          </w:tcPr>
          <w:p w14:paraId="BD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программы </w:t>
            </w:r>
          </w:p>
          <w:p w14:paraId="BE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21"/>
          </w:tcPr>
          <w:p w14:paraId="BF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 xml:space="preserve"> 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управление   строительства, 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sz w:val="28"/>
              </w:rPr>
              <w:t>архитектуры, ЖКХ, земельных и</w:t>
            </w:r>
            <w:r>
              <w:rPr>
                <w:b w:val="1"/>
                <w:sz w:val="28"/>
              </w:rPr>
              <w:t xml:space="preserve">  </w:t>
            </w:r>
            <w:r>
              <w:rPr>
                <w:sz w:val="28"/>
              </w:rPr>
              <w:t>имущественных правоотношений, охраны</w:t>
            </w:r>
            <w:r>
              <w:rPr>
                <w:b w:val="1"/>
                <w:sz w:val="28"/>
              </w:rPr>
              <w:t xml:space="preserve">  </w:t>
            </w:r>
            <w:r>
              <w:rPr>
                <w:sz w:val="28"/>
              </w:rPr>
              <w:t>окружающей среды, транспорта и связи</w:t>
            </w:r>
            <w:r>
              <w:rPr>
                <w:b w:val="1"/>
                <w:sz w:val="28"/>
              </w:rPr>
              <w:t xml:space="preserve">  </w:t>
            </w:r>
            <w:r>
              <w:rPr>
                <w:sz w:val="28"/>
              </w:rPr>
              <w:t>Администрации Горшеченского района</w:t>
            </w:r>
            <w:r>
              <w:rPr>
                <w:b w:val="1"/>
                <w:sz w:val="28"/>
              </w:rPr>
              <w:t xml:space="preserve">  </w:t>
            </w:r>
            <w:r>
              <w:rPr>
                <w:sz w:val="28"/>
              </w:rPr>
              <w:t>Курской области</w:t>
            </w:r>
            <w:r>
              <w:rPr>
                <w:b w:val="1"/>
                <w:sz w:val="28"/>
              </w:rPr>
              <w:t xml:space="preserve">       </w:t>
            </w:r>
          </w:p>
          <w:p w14:paraId="C0000000">
            <w:pPr>
              <w:ind w:hanging="283" w:left="317" w:right="34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C1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Соисполнители программы</w:t>
            </w:r>
          </w:p>
          <w:p w14:paraId="C2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21"/>
          </w:tcPr>
          <w:p w14:paraId="C3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>- о</w:t>
            </w:r>
            <w:r>
              <w:rPr>
                <w:sz w:val="28"/>
              </w:rPr>
              <w:t>тсутствуют</w:t>
            </w:r>
          </w:p>
          <w:p w14:paraId="C4000000">
            <w:pPr>
              <w:ind w:hanging="283" w:left="317" w:right="34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C5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программы</w:t>
            </w:r>
          </w:p>
          <w:p w14:paraId="C6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21"/>
          </w:tcPr>
          <w:p w14:paraId="C7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 xml:space="preserve"> 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Администрация Горшеченского района</w:t>
            </w:r>
            <w:r>
              <w:rPr>
                <w:sz w:val="28"/>
              </w:rPr>
              <w:t>,</w:t>
            </w:r>
          </w:p>
          <w:p w14:paraId="C8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 xml:space="preserve">   МБУ «Управление капитального строительства»</w:t>
            </w:r>
          </w:p>
          <w:p w14:paraId="C9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Администрации сельсоветов</w:t>
            </w:r>
          </w:p>
          <w:p w14:paraId="CA000000">
            <w:pPr>
              <w:ind w:hanging="283" w:left="317" w:right="34"/>
              <w:rPr>
                <w:sz w:val="28"/>
              </w:rPr>
            </w:pPr>
          </w:p>
          <w:p w14:paraId="CB000000">
            <w:pPr>
              <w:ind w:hanging="283" w:left="317"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CC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программы</w:t>
            </w:r>
          </w:p>
          <w:p w14:paraId="CD00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21"/>
            <w:shd w:fill="auto" w:val="clear"/>
          </w:tcPr>
          <w:p w14:paraId="CE000000">
            <w:p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Подпрограмма «Создание условий для обеспечения доступным и комфортным жильем сельского </w:t>
            </w:r>
            <w:r>
              <w:rPr>
                <w:sz w:val="28"/>
              </w:rPr>
              <w:t>населения»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не требует разработки.</w:t>
            </w:r>
          </w:p>
          <w:p w14:paraId="CF000000">
            <w:p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</w:rPr>
              <w:t>Подпрограмма «Развитие рынка труда (кадрового потенциала) на сельских территориях» не требует разработки.</w:t>
            </w:r>
          </w:p>
          <w:p w14:paraId="D0000000">
            <w:pPr>
              <w:pStyle w:val="Style_7"/>
              <w:widowControl w:val="1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</w:rPr>
              <w:t>Подпрограмма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«Создание и развитие инфраструктуры на сельских территориях»</w:t>
            </w:r>
          </w:p>
          <w:p w14:paraId="D1000000">
            <w:pPr>
              <w:pStyle w:val="Style_7"/>
              <w:widowControl w:val="1"/>
              <w:ind w:hanging="283" w:left="317" w:right="34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337"/>
          </w:tcPr>
          <w:p w14:paraId="D2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Цели программы</w:t>
            </w:r>
          </w:p>
        </w:tc>
        <w:tc>
          <w:tcPr>
            <w:tcW w:type="dxa" w:w="6521"/>
          </w:tcPr>
          <w:p w14:paraId="D3000000">
            <w:pPr>
              <w:numPr>
                <w:ilvl w:val="0"/>
                <w:numId w:val="3"/>
              </w:numPr>
              <w:ind w:hanging="425" w:left="459" w:right="3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ввода в действие распределительных газовых сетей, локальных водопроводов, а также реализации проектов комплексного обустройства площадок под компактную жилищную застройку;</w:t>
            </w:r>
          </w:p>
          <w:p w14:paraId="D4000000">
            <w:pPr>
              <w:numPr>
                <w:ilvl w:val="0"/>
                <w:numId w:val="3"/>
              </w:numPr>
              <w:ind w:hanging="425" w:left="459" w:right="3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ввода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продукции;</w:t>
            </w:r>
          </w:p>
          <w:p w14:paraId="D5000000">
            <w:pPr>
              <w:ind w:firstLine="0" w:left="317"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D6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type="dxa" w:w="6521"/>
          </w:tcPr>
          <w:p w14:paraId="D7000000">
            <w:p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повышение уровня занятости сельского населения,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деятельности;</w:t>
            </w:r>
          </w:p>
          <w:p w14:paraId="D8000000">
            <w:pPr>
              <w:numPr>
                <w:ilvl w:val="0"/>
                <w:numId w:val="3"/>
              </w:num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овышение уровня комплексного обустройства объектами социальной и инженерной инфраструктуры сельских поселений Горшеченского района;</w:t>
            </w:r>
          </w:p>
          <w:p w14:paraId="D9000000">
            <w:pPr>
              <w:numPr>
                <w:ilvl w:val="0"/>
                <w:numId w:val="3"/>
              </w:num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>повышение доступности и качества предоставляемых сельским гражданам социально-культурных, торгово-бытовых и государственных услуг путем развития дорожно-транспортных и информационно-телекоммуникационных сетей, мобильных и дистанционных форм обслуживания, укрепления и модернизации материально-технической базы образования, здравоохранения, культуры, физкультуры и спорта и т.д.;</w:t>
            </w:r>
          </w:p>
          <w:p w14:paraId="DA000000">
            <w:pPr>
              <w:ind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DB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Целевые</w:t>
            </w:r>
          </w:p>
          <w:p w14:paraId="DC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индикаторы и показатели</w:t>
            </w:r>
          </w:p>
          <w:p w14:paraId="DD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 xml:space="preserve">программы      </w:t>
            </w:r>
          </w:p>
        </w:tc>
        <w:tc>
          <w:tcPr>
            <w:tcW w:type="dxa" w:w="6521"/>
          </w:tcPr>
          <w:p w14:paraId="DE000000">
            <w:p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>- индекс соотношения среднемесячных располагаемых ресурсов сельского и городского домохозяйств, процентов;</w:t>
            </w:r>
          </w:p>
          <w:p w14:paraId="DF000000">
            <w:pPr>
              <w:pStyle w:val="Style_8"/>
              <w:ind w:firstLine="0" w:left="317" w:right="34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337"/>
          </w:tcPr>
          <w:p w14:paraId="E0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Этапы и сроки реализации программы</w:t>
            </w:r>
          </w:p>
          <w:p w14:paraId="E1000000">
            <w:pPr>
              <w:ind w:right="-165"/>
              <w:rPr>
                <w:sz w:val="28"/>
              </w:rPr>
            </w:pPr>
          </w:p>
        </w:tc>
        <w:tc>
          <w:tcPr>
            <w:tcW w:type="dxa" w:w="6521"/>
          </w:tcPr>
          <w:p w14:paraId="E2000000">
            <w:pPr>
              <w:spacing w:line="240" w:lineRule="atLeast"/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>Срок реализации программы: 202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–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годы. </w:t>
            </w:r>
          </w:p>
          <w:p w14:paraId="E300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>Этапы реализации программы не выделяются.</w:t>
            </w:r>
          </w:p>
        </w:tc>
      </w:tr>
      <w:tr>
        <w:trPr>
          <w:trHeight w:hRule="atLeast" w:val="1684"/>
        </w:trPr>
        <w:tc>
          <w:tcPr>
            <w:tcW w:type="dxa" w:w="3337"/>
          </w:tcPr>
          <w:p w14:paraId="E400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Объемы бюджетных ассигнований программы</w:t>
            </w:r>
          </w:p>
        </w:tc>
        <w:tc>
          <w:tcPr>
            <w:tcW w:type="dxa" w:w="6521"/>
          </w:tcPr>
          <w:p w14:paraId="E5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рограммы </w:t>
            </w:r>
            <w:r>
              <w:rPr>
                <w:rFonts w:ascii="Times New Roman" w:hAnsi="Times New Roman"/>
                <w:sz w:val="28"/>
              </w:rPr>
              <w:t xml:space="preserve">составляет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66 938 589,70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рублей,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в том числе</w:t>
            </w:r>
            <w:r>
              <w:rPr>
                <w:rFonts w:ascii="Times New Roman" w:hAnsi="Times New Roman"/>
                <w:sz w:val="28"/>
              </w:rPr>
              <w:t xml:space="preserve"> по годам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E6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5 964 48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,16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руб.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7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  <w:r>
              <w:rPr>
                <w:rFonts w:ascii="Times New Roman" w:hAnsi="Times New Roman"/>
                <w:sz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5 045 768,62 </w:t>
            </w:r>
            <w:r>
              <w:rPr>
                <w:rFonts w:ascii="Times New Roman" w:hAnsi="Times New Roman"/>
                <w:sz w:val="28"/>
              </w:rPr>
              <w:t>руб.</w:t>
            </w:r>
          </w:p>
          <w:p w14:paraId="E8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  <w:r>
              <w:rPr>
                <w:rFonts w:ascii="Times New Roman" w:hAnsi="Times New Roman"/>
                <w:sz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344 666,66 </w:t>
            </w:r>
            <w:r>
              <w:rPr>
                <w:rFonts w:ascii="Times New Roman" w:hAnsi="Times New Roman"/>
                <w:sz w:val="28"/>
              </w:rPr>
              <w:t>руб.</w:t>
            </w:r>
          </w:p>
          <w:p w14:paraId="E9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  <w:r>
              <w:rPr>
                <w:rFonts w:ascii="Times New Roman" w:hAnsi="Times New Roman"/>
                <w:sz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50 056 586,80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руб.</w:t>
            </w:r>
          </w:p>
          <w:p w14:paraId="EA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-  </w:t>
            </w:r>
            <w:r>
              <w:rPr>
                <w:rFonts w:ascii="Times New Roman" w:hAnsi="Times New Roman"/>
                <w:sz w:val="28"/>
              </w:rPr>
              <w:t>2 042 476</w:t>
            </w:r>
            <w:r>
              <w:rPr>
                <w:rFonts w:ascii="Times New Roman" w:hAnsi="Times New Roman"/>
                <w:sz w:val="28"/>
              </w:rPr>
              <w:t>,46</w:t>
            </w:r>
            <w:r>
              <w:rPr>
                <w:rFonts w:ascii="Times New Roman" w:hAnsi="Times New Roman"/>
                <w:sz w:val="28"/>
              </w:rPr>
              <w:t xml:space="preserve"> руб.</w:t>
            </w:r>
          </w:p>
          <w:p w14:paraId="EB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руб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EC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ED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EE000000">
            <w:pPr>
              <w:pStyle w:val="Style_7"/>
              <w:widowControl w:val="1"/>
              <w:ind/>
              <w:rPr>
                <w:rFonts w:ascii="Times New Roman" w:hAnsi="Times New Roman"/>
                <w:sz w:val="28"/>
              </w:rPr>
            </w:pPr>
          </w:p>
          <w:p w14:paraId="EF000000">
            <w:pPr>
              <w:pStyle w:val="Style_7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из местного бюджета, направленного на реализацию программы, составляет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</w:rPr>
              <w:t>10 104 478,92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 том числе по годам реализации:</w:t>
            </w:r>
          </w:p>
          <w:p w14:paraId="F0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</w:rPr>
              <w:t>338 257,84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руб.</w:t>
            </w:r>
          </w:p>
          <w:p w14:paraId="F1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</w:rPr>
              <w:t>190 900,00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</w:t>
            </w:r>
          </w:p>
          <w:p w14:paraId="F2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</w:rPr>
              <w:t>344 666,66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F3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</w:rPr>
              <w:t>3 703 574,80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F400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2 042 476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 </w:t>
            </w:r>
          </w:p>
          <w:p w14:paraId="F5000000">
            <w:pPr>
              <w:pStyle w:val="Style_8"/>
              <w:ind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6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700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800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</w:p>
          <w:p w14:paraId="F900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Объем бюджетных ассигнований из областного</w:t>
            </w:r>
            <w:r>
              <w:rPr>
                <w:color w:val="000000"/>
                <w:sz w:val="28"/>
              </w:rPr>
              <w:t xml:space="preserve"> и федерального</w:t>
            </w:r>
            <w:r>
              <w:rPr>
                <w:color w:val="000000"/>
                <w:sz w:val="28"/>
              </w:rPr>
              <w:t xml:space="preserve"> бюджетов составляет </w:t>
            </w:r>
            <w:r>
              <w:rPr>
                <w:color w:val="000000"/>
                <w:sz w:val="28"/>
              </w:rPr>
              <w:t>51 999 302,78</w:t>
            </w:r>
            <w:r>
              <w:rPr>
                <w:color w:val="000000"/>
                <w:sz w:val="28"/>
              </w:rPr>
              <w:t xml:space="preserve"> руб., в том числе:</w:t>
            </w:r>
          </w:p>
          <w:p w14:paraId="FA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</w:rPr>
              <w:t>5 626 230,</w:t>
            </w: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FB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– </w:t>
            </w:r>
            <w:r>
              <w:rPr>
                <w:rFonts w:ascii="Times New Roman" w:hAnsi="Times New Roman"/>
                <w:color w:val="000000"/>
                <w:sz w:val="28"/>
              </w:rPr>
              <w:t>4 854 868,62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</w:t>
            </w:r>
          </w:p>
          <w:p w14:paraId="FC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 – 0,00 руб.</w:t>
            </w:r>
          </w:p>
          <w:p w14:paraId="FD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  <w:sz w:val="28"/>
              </w:rPr>
              <w:t>41 518 204,00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FE00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год – 0,00 руб.  </w:t>
            </w:r>
          </w:p>
          <w:p w14:paraId="FF00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 – 0,00 руб.</w:t>
            </w:r>
          </w:p>
          <w:p w14:paraId="00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год – </w:t>
            </w:r>
            <w:r>
              <w:rPr>
                <w:rFonts w:ascii="Times New Roman" w:hAnsi="Times New Roman"/>
                <w:color w:val="000000"/>
                <w:sz w:val="28"/>
              </w:rPr>
              <w:t>0,00 руб.</w:t>
            </w:r>
          </w:p>
          <w:p w14:paraId="01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0201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Объем внебюджетных средств составляет 4 834 808,00 руб., в том числе:</w:t>
            </w:r>
          </w:p>
          <w:p w14:paraId="03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</w:rPr>
              <w:t>0,00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04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– </w:t>
            </w:r>
            <w:r>
              <w:rPr>
                <w:rFonts w:ascii="Times New Roman" w:hAnsi="Times New Roman"/>
                <w:color w:val="000000"/>
                <w:sz w:val="28"/>
              </w:rPr>
              <w:t>0,00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</w:t>
            </w:r>
          </w:p>
          <w:p w14:paraId="05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 – 0,00 руб.</w:t>
            </w:r>
          </w:p>
          <w:p w14:paraId="06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  <w:sz w:val="28"/>
              </w:rPr>
              <w:t>4 834 808,00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0701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год – 0,00 руб.  </w:t>
            </w:r>
          </w:p>
          <w:p w14:paraId="08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 – 0,00 руб.</w:t>
            </w:r>
          </w:p>
          <w:p w14:paraId="09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год – </w:t>
            </w:r>
            <w:r>
              <w:rPr>
                <w:rFonts w:ascii="Times New Roman" w:hAnsi="Times New Roman"/>
                <w:color w:val="000000"/>
                <w:sz w:val="28"/>
              </w:rPr>
              <w:t>0,00 руб.</w:t>
            </w:r>
          </w:p>
          <w:p w14:paraId="0A01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337"/>
          </w:tcPr>
          <w:p w14:paraId="0B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Ожидаемые результаты реализации программы</w:t>
            </w:r>
          </w:p>
        </w:tc>
        <w:tc>
          <w:tcPr>
            <w:tcW w:type="dxa" w:w="6521"/>
          </w:tcPr>
          <w:p w14:paraId="0C010000">
            <w:pPr>
              <w:pStyle w:val="Style_9"/>
              <w:ind w:hanging="317" w:left="317" w:righ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сохранение  доли сельского населения в общей численности населения Горшеченского района Курской области на уровне не  менее 65 процента в 202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году;</w:t>
            </w:r>
          </w:p>
          <w:p w14:paraId="0D010000">
            <w:pPr>
              <w:pStyle w:val="Style_9"/>
              <w:ind w:hanging="317" w:left="317" w:righ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достижение соотношения среднемесячных располагаемых ресурсов сельского и городского домохозяйств;</w:t>
            </w:r>
          </w:p>
          <w:p w14:paraId="0E010000">
            <w:pPr>
              <w:pStyle w:val="Style_9"/>
              <w:ind w:hanging="317" w:left="317" w:right="34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- повышение доли общей площади благоустроенных жилых  помещений в сельских населенных пунктах. </w:t>
            </w:r>
          </w:p>
        </w:tc>
      </w:tr>
    </w:tbl>
    <w:p w14:paraId="0F010000">
      <w:pPr>
        <w:ind w:firstLine="0" w:left="851" w:right="-165"/>
        <w:jc w:val="both"/>
        <w:rPr>
          <w:b w:val="1"/>
          <w:sz w:val="28"/>
        </w:rPr>
      </w:pPr>
    </w:p>
    <w:p w14:paraId="10010000">
      <w:pPr>
        <w:ind w:firstLine="0" w:left="851" w:right="-165"/>
        <w:jc w:val="both"/>
        <w:rPr>
          <w:b w:val="1"/>
          <w:sz w:val="28"/>
        </w:rPr>
      </w:pPr>
      <w:r>
        <w:rPr>
          <w:b w:val="1"/>
          <w:sz w:val="28"/>
        </w:rPr>
        <w:t>Раздел 1. Х</w:t>
      </w:r>
      <w:r>
        <w:rPr>
          <w:b w:val="1"/>
          <w:sz w:val="28"/>
        </w:rPr>
        <w:t>арактеристика  текущего состояния сферы реализации муниципальной программы.</w:t>
      </w:r>
    </w:p>
    <w:p w14:paraId="11010000">
      <w:pPr>
        <w:spacing w:before="280"/>
        <w:ind w:firstLine="540" w:left="0" w:right="-165"/>
        <w:jc w:val="both"/>
        <w:rPr>
          <w:sz w:val="28"/>
        </w:rPr>
      </w:pPr>
      <w:r>
        <w:rPr>
          <w:sz w:val="28"/>
        </w:rPr>
        <w:t>Муниципальная  программа «</w:t>
      </w:r>
      <w:r>
        <w:rPr>
          <w:sz w:val="28"/>
        </w:rPr>
        <w:t xml:space="preserve">Комплексное развитие сельских территорий </w:t>
      </w:r>
      <w:r>
        <w:rPr>
          <w:sz w:val="28"/>
        </w:rPr>
        <w:t>Г</w:t>
      </w:r>
      <w:r>
        <w:rPr>
          <w:sz w:val="28"/>
        </w:rPr>
        <w:t>оршеченско</w:t>
      </w:r>
      <w:r>
        <w:rPr>
          <w:sz w:val="28"/>
        </w:rPr>
        <w:t>го</w:t>
      </w:r>
      <w:r>
        <w:rPr>
          <w:sz w:val="28"/>
        </w:rPr>
        <w:t xml:space="preserve"> район</w:t>
      </w:r>
      <w:r>
        <w:rPr>
          <w:sz w:val="28"/>
        </w:rPr>
        <w:t>а</w:t>
      </w:r>
      <w:r>
        <w:rPr>
          <w:sz w:val="28"/>
        </w:rPr>
        <w:t xml:space="preserve"> Курской области</w:t>
      </w:r>
      <w:r>
        <w:rPr>
          <w:sz w:val="28"/>
        </w:rPr>
        <w:t xml:space="preserve">» (далее - </w:t>
      </w:r>
      <w:r>
        <w:rPr>
          <w:sz w:val="28"/>
        </w:rPr>
        <w:t>Муниципальная</w:t>
      </w:r>
      <w:r>
        <w:rPr>
          <w:sz w:val="28"/>
        </w:rPr>
        <w:t xml:space="preserve"> программа) определяет цели, задачи и направления развития сельских территорий. </w:t>
      </w:r>
      <w:r>
        <w:rPr>
          <w:sz w:val="28"/>
        </w:rPr>
        <w:t>Муниципальная</w:t>
      </w:r>
      <w:r>
        <w:rPr>
          <w:sz w:val="28"/>
        </w:rPr>
        <w:t xml:space="preserve"> программа разработана в соответствии с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"consultantplus://offline/ref=A0A6346FB8257755C892D8539FDB87326A607BF90A66E66FCCFA9B8BE268BC91CAC1BCF2B2A5AA9FA8FA9A10E0e2U5G"</w:instrText>
      </w:r>
      <w:r>
        <w:rPr>
          <w:rStyle w:val="Style_10_ch"/>
        </w:rPr>
        <w:fldChar w:fldCharType="separate"/>
      </w:r>
      <w:r>
        <w:rPr>
          <w:rStyle w:val="Style_10_ch"/>
        </w:rPr>
        <w:t>Постановлением</w:t>
      </w:r>
      <w:r>
        <w:rPr>
          <w:rStyle w:val="Style_10_ch"/>
        </w:rPr>
        <w:fldChar w:fldCharType="end"/>
      </w:r>
      <w:r>
        <w:rPr>
          <w:sz w:val="28"/>
        </w:rPr>
        <w:t xml:space="preserve"> Правительства Российской Федерации от 31 мая 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"consultantplus://offline/ref=A0A6346FB8257755C892C65E89B7DD3E6E6A2DF50964E83897A5C0D6B561B6C69F8EBDAEF7F3B99EACFA9817FF2E9F77e9U6G"</w:instrText>
      </w:r>
      <w:r>
        <w:rPr>
          <w:rStyle w:val="Style_10_ch"/>
        </w:rPr>
        <w:fldChar w:fldCharType="separate"/>
      </w:r>
      <w:r>
        <w:rPr>
          <w:rStyle w:val="Style_10_ch"/>
        </w:rPr>
        <w:t>распоряжением</w:t>
      </w:r>
      <w:r>
        <w:rPr>
          <w:rStyle w:val="Style_10_ch"/>
        </w:rPr>
        <w:fldChar w:fldCharType="end"/>
      </w:r>
      <w:r>
        <w:rPr>
          <w:sz w:val="28"/>
        </w:rPr>
        <w:t xml:space="preserve"> Администрации Курской области от 24.10.2012 N 931-ра «Об утверждении перечня государственных программ Курской области».</w:t>
      </w:r>
    </w:p>
    <w:p w14:paraId="12010000">
      <w:pPr>
        <w:ind w:firstLine="709" w:left="0" w:right="-165"/>
        <w:jc w:val="both"/>
        <w:rPr>
          <w:sz w:val="28"/>
        </w:rPr>
      </w:pPr>
      <w:r>
        <w:rPr>
          <w:sz w:val="28"/>
        </w:rPr>
        <w:t>Сельские территории Горшеченского района Курской области являются частью стратегического ресурса, однако отсутствие возможности удовлетворить свои насущные потребности, сложные условия жизни сельского населения, оторванность сельских поселений от научно-технических достижений XXI века, недостаточная вовлеченность сельского населения в практики гражданского общества, слабое развитие транспортной инфраструктуры и средств связи не позволяют реализовать потенциал сельских территории в полной мере.</w:t>
      </w:r>
    </w:p>
    <w:p w14:paraId="1301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</w:p>
    <w:p w14:paraId="1401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  <w:r>
        <w:rPr>
          <w:sz w:val="28"/>
        </w:rPr>
        <w:t xml:space="preserve">На сельской территории Горшеченского района располагается 14 сельских поселений. Общая площадь сельской территории Горшеченского района составляет 1294 кв. км, в том числе земель сельскохозяйственного назначения </w:t>
      </w:r>
      <w:r>
        <w:rPr>
          <w:sz w:val="28"/>
        </w:rPr>
        <w:t>108920 га</w:t>
      </w:r>
      <w:r>
        <w:rPr>
          <w:sz w:val="28"/>
        </w:rPr>
        <w:t>. Численность сельского населения Горшеченского района по состоянию на 01.01.20</w:t>
      </w:r>
      <w:r>
        <w:rPr>
          <w:sz w:val="28"/>
        </w:rPr>
        <w:t>2020</w:t>
      </w:r>
      <w:r>
        <w:rPr>
          <w:sz w:val="28"/>
        </w:rPr>
        <w:t xml:space="preserve"> года составила </w:t>
      </w:r>
      <w:r>
        <w:rPr>
          <w:sz w:val="28"/>
        </w:rPr>
        <w:t>9897</w:t>
      </w:r>
      <w:r>
        <w:rPr>
          <w:sz w:val="28"/>
        </w:rPr>
        <w:t xml:space="preserve"> человек</w:t>
      </w:r>
      <w:r>
        <w:rPr>
          <w:sz w:val="28"/>
        </w:rPr>
        <w:t xml:space="preserve"> (65 % населения Горшеченского р-на)</w:t>
      </w:r>
      <w:r>
        <w:rPr>
          <w:sz w:val="28"/>
        </w:rPr>
        <w:t>, в том числ</w:t>
      </w:r>
      <w:r>
        <w:rPr>
          <w:sz w:val="28"/>
        </w:rPr>
        <w:t>е трудоспособного населения 4753</w:t>
      </w:r>
      <w:r>
        <w:rPr>
          <w:sz w:val="28"/>
        </w:rPr>
        <w:t xml:space="preserve"> человек.</w:t>
      </w:r>
    </w:p>
    <w:p w14:paraId="15010000">
      <w:pPr>
        <w:widowControl w:val="0"/>
        <w:ind w:firstLine="360" w:left="0" w:right="-165"/>
        <w:jc w:val="both"/>
        <w:rPr>
          <w:sz w:val="28"/>
        </w:rPr>
      </w:pPr>
      <w:r>
        <w:rPr>
          <w:sz w:val="28"/>
        </w:rPr>
        <w:t>Структура занятости трудоспособного сельского населения  характеризуется следующими данными:</w:t>
      </w:r>
    </w:p>
    <w:p w14:paraId="16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>сельскохозяйственное производство – 490  человек (10%);</w:t>
      </w:r>
    </w:p>
    <w:p w14:paraId="17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>организации бюджетной сферы - 343 человек (7%);</w:t>
      </w:r>
    </w:p>
    <w:p w14:paraId="18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>организации несельскохозяйственной сферы - 245 человек (5%);</w:t>
      </w:r>
    </w:p>
    <w:p w14:paraId="19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 xml:space="preserve"> личное подсобное хозяйство - 2107 человек (43%);</w:t>
      </w:r>
    </w:p>
    <w:p w14:paraId="1A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 xml:space="preserve"> работает за пределами сельской территории Горшеченского района - 637 человек (13%);</w:t>
      </w:r>
    </w:p>
    <w:p w14:paraId="1B010000">
      <w:pPr>
        <w:widowControl w:val="0"/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 xml:space="preserve"> не обеспечено работой - 931 человек (19 %).</w:t>
      </w:r>
    </w:p>
    <w:p w14:paraId="1C010000">
      <w:pPr>
        <w:widowControl w:val="0"/>
        <w:ind w:firstLine="360" w:left="0" w:right="-165"/>
        <w:jc w:val="both"/>
        <w:rPr>
          <w:sz w:val="28"/>
        </w:rPr>
      </w:pPr>
      <w:r>
        <w:rPr>
          <w:sz w:val="28"/>
        </w:rPr>
        <w:t xml:space="preserve">Размер среднемесячного </w:t>
      </w:r>
      <w:r>
        <w:rPr>
          <w:sz w:val="28"/>
        </w:rPr>
        <w:t>душевого дохода населения в 20</w:t>
      </w:r>
      <w:r>
        <w:rPr>
          <w:sz w:val="28"/>
        </w:rPr>
        <w:t>20</w:t>
      </w:r>
      <w:r>
        <w:rPr>
          <w:sz w:val="28"/>
        </w:rPr>
        <w:t xml:space="preserve"> году составил 22 039 рублей на человека.</w:t>
      </w:r>
    </w:p>
    <w:p w14:paraId="1D010000">
      <w:pPr>
        <w:pStyle w:val="Style_11"/>
        <w:tabs>
          <w:tab w:leader="none" w:pos="8080" w:val="left"/>
        </w:tabs>
        <w:spacing w:line="240" w:lineRule="auto"/>
        <w:ind w:right="-165"/>
      </w:pPr>
      <w:r>
        <w:t>Общая площадь жилищного фонда сельских поселений, находящихся на территории Мун</w:t>
      </w:r>
      <w:r>
        <w:t>иципального района на</w:t>
      </w:r>
      <w:r>
        <w:t xml:space="preserve"> 01.01.20</w:t>
      </w:r>
      <w:r>
        <w:t>20</w:t>
      </w:r>
      <w:r>
        <w:t xml:space="preserve"> года составляет </w:t>
      </w:r>
      <w:r>
        <w:t>257011  кв. метра.</w:t>
      </w:r>
    </w:p>
    <w:p w14:paraId="1E010000">
      <w:pPr>
        <w:ind w:firstLine="709" w:left="0" w:right="-165"/>
        <w:rPr>
          <w:sz w:val="28"/>
        </w:rPr>
      </w:pPr>
      <w:r>
        <w:rPr>
          <w:sz w:val="28"/>
        </w:rPr>
        <w:t>На</w:t>
      </w:r>
      <w:r>
        <w:rPr>
          <w:sz w:val="28"/>
        </w:rPr>
        <w:t xml:space="preserve"> 01.01.2018</w:t>
      </w:r>
      <w:r>
        <w:rPr>
          <w:sz w:val="28"/>
        </w:rPr>
        <w:t xml:space="preserve"> г.  признаны нуждающимися в улучшении жилищных условий  11 семей различных категорий, проживающих в сельской местности</w:t>
      </w:r>
      <w:r>
        <w:rPr>
          <w:sz w:val="28"/>
        </w:rPr>
        <w:t>.</w:t>
      </w:r>
    </w:p>
    <w:p w14:paraId="1F010000">
      <w:pPr>
        <w:pStyle w:val="Style_11"/>
        <w:tabs>
          <w:tab w:leader="none" w:pos="8080" w:val="left"/>
        </w:tabs>
        <w:spacing w:line="240" w:lineRule="auto"/>
        <w:ind w:right="-165"/>
        <w:jc w:val="left"/>
      </w:pPr>
      <w:r>
        <w:t xml:space="preserve">Аварийного и ветхого жилья на территории Горшеченского района не зарегистрировано. </w:t>
      </w:r>
    </w:p>
    <w:p w14:paraId="20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Средний уровень благоустройства жилищного фонда по обеспеченности электроэнергией со</w:t>
      </w:r>
      <w:r>
        <w:rPr>
          <w:sz w:val="28"/>
        </w:rPr>
        <w:t>ст</w:t>
      </w:r>
      <w:r>
        <w:rPr>
          <w:sz w:val="28"/>
        </w:rPr>
        <w:t>авляет 100%, водопроводом – 85</w:t>
      </w:r>
      <w:r>
        <w:rPr>
          <w:sz w:val="28"/>
        </w:rPr>
        <w:t xml:space="preserve">%, сетевым </w:t>
      </w:r>
      <w:r>
        <w:rPr>
          <w:sz w:val="28"/>
        </w:rPr>
        <w:t>газоснабжением – 92,5</w:t>
      </w:r>
      <w:r>
        <w:rPr>
          <w:sz w:val="28"/>
        </w:rPr>
        <w:t>%.</w:t>
      </w:r>
    </w:p>
    <w:p w14:paraId="21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 состоянию на 01.01</w:t>
      </w:r>
      <w:r>
        <w:rPr>
          <w:sz w:val="28"/>
        </w:rPr>
        <w:t>.20</w:t>
      </w:r>
      <w:r>
        <w:rPr>
          <w:sz w:val="28"/>
        </w:rPr>
        <w:t>20</w:t>
      </w:r>
      <w:r>
        <w:rPr>
          <w:sz w:val="28"/>
        </w:rPr>
        <w:t xml:space="preserve"> г. в сельских поселениях Горшеченского района функционируют:</w:t>
      </w:r>
    </w:p>
    <w:p w14:paraId="22010000">
      <w:pPr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>18 общеобразовательных школ на 2455 ученических мест;</w:t>
      </w:r>
    </w:p>
    <w:p w14:paraId="23010000">
      <w:pPr>
        <w:numPr>
          <w:ilvl w:val="0"/>
          <w:numId w:val="3"/>
        </w:numPr>
        <w:ind w:right="-165"/>
        <w:jc w:val="both"/>
        <w:rPr>
          <w:sz w:val="28"/>
        </w:rPr>
      </w:pPr>
      <w:r>
        <w:rPr>
          <w:sz w:val="28"/>
        </w:rPr>
        <w:t xml:space="preserve">23 учреждения культурно-досугового типа на 4384 мест; </w:t>
      </w:r>
    </w:p>
    <w:p w14:paraId="24010000">
      <w:pPr>
        <w:pStyle w:val="Style_12"/>
        <w:spacing w:after="0"/>
        <w:ind w:firstLine="540" w:left="0" w:right="-165"/>
        <w:jc w:val="both"/>
        <w:rPr>
          <w:sz w:val="28"/>
        </w:rPr>
      </w:pPr>
      <w:r>
        <w:rPr>
          <w:sz w:val="28"/>
        </w:rPr>
        <w:t>Состояние инженерной инфраструктуры сельских поселений Го</w:t>
      </w:r>
      <w:r>
        <w:rPr>
          <w:sz w:val="28"/>
        </w:rPr>
        <w:t>ршеченского района на 01.01.20</w:t>
      </w:r>
      <w:r>
        <w:rPr>
          <w:sz w:val="28"/>
        </w:rPr>
        <w:t>20</w:t>
      </w:r>
      <w:r>
        <w:rPr>
          <w:sz w:val="28"/>
        </w:rPr>
        <w:t xml:space="preserve"> года:</w:t>
      </w:r>
    </w:p>
    <w:p w14:paraId="25010000">
      <w:pPr>
        <w:pStyle w:val="Style_12"/>
        <w:numPr>
          <w:ilvl w:val="0"/>
          <w:numId w:val="4"/>
        </w:numPr>
        <w:spacing w:after="0"/>
        <w:ind w:right="-165"/>
        <w:jc w:val="both"/>
        <w:rPr>
          <w:sz w:val="28"/>
        </w:rPr>
      </w:pPr>
      <w:r>
        <w:rPr>
          <w:sz w:val="28"/>
        </w:rPr>
        <w:t xml:space="preserve">В сельских поселениях Горшеченского района к системе сетевого </w:t>
      </w:r>
      <w:r>
        <w:rPr>
          <w:sz w:val="28"/>
        </w:rPr>
        <w:t>газоснабжения подключены 68</w:t>
      </w:r>
      <w:r>
        <w:rPr>
          <w:sz w:val="28"/>
        </w:rPr>
        <w:t xml:space="preserve"> из 71 населенного пункта. Это</w:t>
      </w:r>
      <w:r>
        <w:rPr>
          <w:sz w:val="28"/>
        </w:rPr>
        <w:t xml:space="preserve"> соответств</w:t>
      </w:r>
      <w:r>
        <w:rPr>
          <w:sz w:val="28"/>
        </w:rPr>
        <w:t>ует обеспечению сетевым газом 93</w:t>
      </w:r>
      <w:r>
        <w:rPr>
          <w:sz w:val="28"/>
        </w:rPr>
        <w:t>,1% жилищного фонда сельских поселений Горшеченского района.</w:t>
      </w:r>
    </w:p>
    <w:p w14:paraId="26010000">
      <w:pPr>
        <w:pStyle w:val="Style_13"/>
        <w:numPr>
          <w:ilvl w:val="0"/>
          <w:numId w:val="4"/>
        </w:numPr>
        <w:spacing w:after="0" w:line="240" w:lineRule="auto"/>
        <w:ind w:hanging="342" w:left="342" w:right="-165"/>
        <w:jc w:val="both"/>
        <w:rPr>
          <w:sz w:val="28"/>
        </w:rPr>
      </w:pPr>
      <w:r>
        <w:rPr>
          <w:sz w:val="28"/>
        </w:rPr>
        <w:t xml:space="preserve">Распределительная система водоснабжения сельских поселений Муниципального района включает в себя 99 водозаборов (99 артезианских скважин, 0 открытых водозаборов), </w:t>
      </w:r>
      <w:r>
        <w:rPr>
          <w:sz w:val="28"/>
        </w:rPr>
        <w:t>0 км</w:t>
      </w:r>
      <w:r>
        <w:rPr>
          <w:sz w:val="28"/>
        </w:rPr>
        <w:t xml:space="preserve"> напорных водоводов, 97 водопроводных башен, </w:t>
      </w:r>
      <w:r>
        <w:rPr>
          <w:sz w:val="28"/>
        </w:rPr>
        <w:t>276,3 км</w:t>
      </w:r>
      <w:r>
        <w:rPr>
          <w:sz w:val="28"/>
        </w:rPr>
        <w:t xml:space="preserve"> поселковых водопроводных сетей. На текущий момент система водоснабжения сельских поселений Горшеченского района не обеспечивает в полной мере потребности населения и производственной сферы в воде. Амортизационный уровень износа как магистральных водоводов, так и уличных водопроводных сетей соста</w:t>
      </w:r>
      <w:r>
        <w:rPr>
          <w:sz w:val="28"/>
        </w:rPr>
        <w:t>в</w:t>
      </w:r>
      <w:r>
        <w:rPr>
          <w:sz w:val="28"/>
        </w:rPr>
        <w:t>ляет в сельских поселениях Горшенского района около 99%. На текущий момент более 35% объектов водоснабжения требует срочной замены. Около 77% сельского населения Горшеченского района пользуются водой из водопроводной сети. До сих пор 45% сельского населения пользуются услугами уличной водопроводной сети (водоразборными колонками), 4% сельского населения Горшеченского района получают воду из колодцев.</w:t>
      </w:r>
    </w:p>
    <w:p w14:paraId="27010000">
      <w:pPr>
        <w:pStyle w:val="Style_11"/>
        <w:tabs>
          <w:tab w:leader="none" w:pos="8080" w:val="left"/>
        </w:tabs>
        <w:spacing w:line="240" w:lineRule="auto"/>
        <w:ind w:right="-165"/>
        <w:jc w:val="left"/>
      </w:pPr>
    </w:p>
    <w:p w14:paraId="28010000">
      <w:pPr>
        <w:ind w:firstLine="709" w:left="0" w:right="-165"/>
        <w:jc w:val="both"/>
        <w:rPr>
          <w:sz w:val="28"/>
        </w:rPr>
      </w:pPr>
      <w:r>
        <w:rPr>
          <w:sz w:val="28"/>
        </w:rPr>
        <w:t>Муниципальная программа определяет цели, задачи, направления комплексного развития сельских территорий, объёмы финансового обеспечения и механизмы реализации мероприятий,  а также их целевые показатели.</w:t>
      </w:r>
    </w:p>
    <w:p w14:paraId="29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Прогноз реализации Муниципальной программы основывается на расчете достижимости значений целевых показателей и включённых в неё подпрограмм. </w:t>
      </w:r>
    </w:p>
    <w:p w14:paraId="2A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</w:t>
      </w:r>
      <w:r>
        <w:rPr>
          <w:sz w:val="28"/>
        </w:rPr>
        <w:t>Муниципальной</w:t>
      </w:r>
      <w:r>
        <w:rPr>
          <w:sz w:val="28"/>
        </w:rPr>
        <w:t xml:space="preserve">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 </w:t>
      </w:r>
    </w:p>
    <w:p w14:paraId="2B010000">
      <w:pPr>
        <w:ind w:firstLine="709" w:left="0" w:right="-165"/>
        <w:jc w:val="both"/>
        <w:rPr>
          <w:sz w:val="28"/>
        </w:rPr>
      </w:pPr>
      <w:r>
        <w:rPr>
          <w:sz w:val="28"/>
        </w:rPr>
        <w:t>В прогнозный период наметятся следующие значимые тенденции:</w:t>
      </w:r>
    </w:p>
    <w:p w14:paraId="2C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стабилизация численности населения, проживающего на сельских территориях;</w:t>
      </w:r>
    </w:p>
    <w:p w14:paraId="2D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повышение уровня благосостояния и снижение уровня бедности сельского населения;</w:t>
      </w:r>
    </w:p>
    <w:p w14:paraId="2E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повышение уровня занятости сельского населения;</w:t>
      </w:r>
    </w:p>
    <w:p w14:paraId="2F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ускоренное развитие социальной, инженерной, коммунальной инфраструктуры на сельских территориях и доведение уровня комфортности проживания на сельских территориях до городского уровня; </w:t>
      </w:r>
    </w:p>
    <w:p w14:paraId="30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повышение социальной ответственности бизнеса путем его привлечения к реализа</w:t>
      </w:r>
      <w:r>
        <w:rPr>
          <w:sz w:val="28"/>
        </w:rPr>
        <w:t>ции социально значимых проектов.</w:t>
      </w:r>
    </w:p>
    <w:p w14:paraId="31010000">
      <w:pPr>
        <w:pStyle w:val="Style_11"/>
        <w:tabs>
          <w:tab w:leader="none" w:pos="8080" w:val="left"/>
        </w:tabs>
        <w:spacing w:line="240" w:lineRule="auto"/>
        <w:ind w:right="-165"/>
        <w:jc w:val="left"/>
      </w:pPr>
    </w:p>
    <w:p w14:paraId="32010000">
      <w:pPr>
        <w:pStyle w:val="Style_11"/>
        <w:tabs>
          <w:tab w:leader="none" w:pos="8080" w:val="left"/>
        </w:tabs>
        <w:spacing w:line="240" w:lineRule="auto"/>
        <w:ind w:right="-165"/>
        <w:jc w:val="left"/>
      </w:pPr>
    </w:p>
    <w:p w14:paraId="33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2. Приоритеты и </w:t>
      </w:r>
      <w:r>
        <w:rPr>
          <w:b w:val="1"/>
          <w:sz w:val="28"/>
        </w:rPr>
        <w:t>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14:paraId="34010000">
      <w:pPr>
        <w:ind w:firstLine="708" w:left="0" w:right="-165"/>
        <w:jc w:val="both"/>
        <w:rPr>
          <w:sz w:val="28"/>
        </w:rPr>
      </w:pPr>
    </w:p>
    <w:p w14:paraId="35010000">
      <w:pPr>
        <w:ind w:firstLine="709" w:left="0" w:right="-165"/>
        <w:jc w:val="both"/>
        <w:rPr>
          <w:sz w:val="28"/>
        </w:rPr>
      </w:pPr>
      <w:r>
        <w:rPr>
          <w:sz w:val="28"/>
        </w:rPr>
        <w:t>Приоритетами Муниципальной программы являются: комплексное развитие сельских территорий, повышение благосостояния, уровня жизни и занятости граждан.</w:t>
      </w:r>
    </w:p>
    <w:p w14:paraId="36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Муниципальная программа базируется на положениях Федерального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"consultantplus://offline/ref=7B316CC03F0694FF9E7C2DAB7899A579FB53F99C5F9CAEC75AF62EE15E70D071DE76B64AE057B8D3F68802174Eh7m6G"</w:instrText>
      </w:r>
      <w:r>
        <w:rPr>
          <w:rStyle w:val="Style_10_ch"/>
        </w:rPr>
        <w:fldChar w:fldCharType="separate"/>
      </w:r>
      <w:r>
        <w:rPr>
          <w:rStyle w:val="Style_10_ch"/>
        </w:rPr>
        <w:t>закона</w:t>
      </w:r>
      <w:r>
        <w:rPr>
          <w:rStyle w:val="Style_10_ch"/>
        </w:rPr>
        <w:fldChar w:fldCharType="end"/>
      </w:r>
      <w:r>
        <w:rPr>
          <w:sz w:val="28"/>
        </w:rPr>
        <w:t xml:space="preserve"> «О развитии сельского хозяйства», Стратегии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           2 февраля 2015 г. № 151-р (далее – Стратегия). 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жизни, что позволит сохранить социальный и экономический потенциал сельских территорий и обеспечит выполнение ими общенациональных функций – производственной, демографической, трудоресурсной, пространственно-коммуникационной, сохранения историко-культурных основ идентичности народов страны, поддержания социального контроля и освоенности сельских территорий.</w:t>
      </w:r>
    </w:p>
    <w:p w14:paraId="37010000">
      <w:pPr>
        <w:ind w:firstLine="709" w:left="0" w:right="-165"/>
        <w:jc w:val="both"/>
        <w:rPr>
          <w:sz w:val="28"/>
        </w:rPr>
      </w:pPr>
      <w:r>
        <w:rPr>
          <w:sz w:val="28"/>
        </w:rPr>
        <w:t>Целями Муниципальной программы являются:</w:t>
      </w:r>
    </w:p>
    <w:p w14:paraId="38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обеспечение ввода в действие распределительных газовых сетей, локальных водопроводов, а также реализации проектов комплексного обустройства площадок под компактную жилищную застройку;</w:t>
      </w:r>
    </w:p>
    <w:p w14:paraId="39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обеспечение ввода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продукции;</w:t>
      </w:r>
    </w:p>
    <w:p w14:paraId="3A010000">
      <w:pPr>
        <w:ind w:firstLine="709" w:left="0" w:right="-165"/>
        <w:jc w:val="both"/>
        <w:rPr>
          <w:sz w:val="28"/>
        </w:rPr>
      </w:pPr>
      <w:r>
        <w:rPr>
          <w:sz w:val="28"/>
        </w:rPr>
        <w:t>Для достижения указанных целей необходимо выполнить задачи, которые определены паспортом Муниципальной программы и паспортами подпрограмм, включенных в Муниципальную программу.</w:t>
      </w:r>
    </w:p>
    <w:p w14:paraId="3B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Показатели (индикаторы) реализации Муниципальной программы оцениваются в целом для Муниципальной программы и по каждой из подпрограмм Муниципальной программы.</w:t>
      </w:r>
    </w:p>
    <w:p w14:paraId="3C010000">
      <w:pPr>
        <w:ind w:firstLine="709" w:left="0" w:right="-165"/>
        <w:jc w:val="both"/>
        <w:rPr>
          <w:sz w:val="28"/>
        </w:rPr>
      </w:pPr>
      <w:r>
        <w:rPr>
          <w:sz w:val="28"/>
        </w:rPr>
        <w:t>Реализация предусмотренных Муниципальной программой мероприятий будет способствовать созданию условий для комплексного развития сельских территорий и обеспечит достижение следующих положительных результатов, определяющих ее социально-экономическую эффективность:</w:t>
      </w:r>
    </w:p>
    <w:p w14:paraId="3D010000">
      <w:pPr>
        <w:ind w:firstLine="708" w:left="0" w:right="-165"/>
        <w:jc w:val="both"/>
        <w:rPr>
          <w:sz w:val="28"/>
        </w:rPr>
      </w:pPr>
      <w:r>
        <w:rPr>
          <w:sz w:val="28"/>
        </w:rPr>
        <w:t>улучшение жилищных условий около 1000 сельских семей;</w:t>
      </w:r>
    </w:p>
    <w:p w14:paraId="3E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обустройство инженерной инфраструктурой и благоустройством не менее 9 площадок, расположенных на сельских территориях, под компактную жилищную застройку;</w:t>
      </w:r>
    </w:p>
    <w:p w14:paraId="3F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обеспечение реализации проектов по комплексному обустройству сельских территорий (агломераций);</w:t>
      </w:r>
    </w:p>
    <w:p w14:paraId="40010000">
      <w:pPr>
        <w:ind w:firstLine="709" w:left="0" w:right="-165"/>
        <w:jc w:val="both"/>
        <w:rPr>
          <w:sz w:val="28"/>
        </w:rPr>
      </w:pPr>
      <w:r>
        <w:rPr>
          <w:sz w:val="28"/>
        </w:rPr>
        <w:t>доведение доли общеобразовательных организаций на сельских территориях, имеющих водопровод, центральное отопление, канализацию до 100 процентов;</w:t>
      </w:r>
    </w:p>
    <w:p w14:paraId="41010000">
      <w:pPr>
        <w:ind w:firstLine="709" w:left="0" w:right="-165"/>
        <w:jc w:val="both"/>
        <w:rPr>
          <w:sz w:val="28"/>
        </w:rPr>
      </w:pPr>
      <w:r>
        <w:rPr>
          <w:sz w:val="28"/>
        </w:rPr>
        <w:t>снижение среднего радиуса доступности сельскому населению фельдшерско-акушерских пунктов до 6 км, что будет обеспечивать нормативную транспортную доступность;</w:t>
      </w:r>
    </w:p>
    <w:p w14:paraId="42010000">
      <w:pPr>
        <w:ind w:firstLine="709" w:left="0" w:right="-165"/>
        <w:jc w:val="both"/>
        <w:rPr>
          <w:sz w:val="28"/>
        </w:rPr>
      </w:pPr>
      <w:r>
        <w:rPr>
          <w:sz w:val="28"/>
        </w:rPr>
        <w:t>повышение доли сельского населения, систематически занимающегося физической культурой и спортом, до 55 процентов;</w:t>
      </w:r>
    </w:p>
    <w:p w14:paraId="43010000">
      <w:pPr>
        <w:ind w:firstLine="709" w:left="0" w:right="-165"/>
        <w:jc w:val="both"/>
        <w:rPr>
          <w:sz w:val="28"/>
        </w:rPr>
      </w:pPr>
      <w:r>
        <w:rPr>
          <w:sz w:val="28"/>
        </w:rPr>
        <w:t>доведение уровня газификации жилых домов (квартир) газом на сельских территориях до 95 процентов;</w:t>
      </w:r>
    </w:p>
    <w:p w14:paraId="44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обеспечение не менее 95 процентов всего сельского населения качественной питьевой водой;</w:t>
      </w:r>
    </w:p>
    <w:p w14:paraId="45010000">
      <w:pPr>
        <w:ind w:firstLine="709" w:left="0" w:right="-165"/>
        <w:jc w:val="both"/>
        <w:rPr>
          <w:sz w:val="28"/>
        </w:rPr>
      </w:pPr>
      <w:r>
        <w:rPr>
          <w:sz w:val="28"/>
        </w:rPr>
        <w:t>снижение доли автомобильных дорог общего пользования (местного значения), не отвечающих нормативным требованиям, до 65 процентов.</w:t>
      </w:r>
    </w:p>
    <w:p w14:paraId="46010000">
      <w:pPr>
        <w:ind w:firstLine="709" w:left="0" w:right="-165"/>
        <w:jc w:val="both"/>
        <w:rPr>
          <w:sz w:val="28"/>
        </w:rPr>
      </w:pPr>
      <w:r>
        <w:rPr>
          <w:sz w:val="28"/>
        </w:rPr>
        <w:t>В целом использование комплексного подхода к повышению уровня комфортности проживания на сельских территориях будет способствовать созданию благоприятных условий для повышения инвестиционной активности,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 в целом.</w:t>
      </w:r>
    </w:p>
    <w:p w14:paraId="47010000">
      <w:pPr>
        <w:ind w:firstLine="709" w:left="0" w:right="-165"/>
        <w:jc w:val="both"/>
        <w:rPr>
          <w:sz w:val="28"/>
        </w:rPr>
      </w:pPr>
      <w:r>
        <w:rPr>
          <w:sz w:val="28"/>
        </w:rPr>
        <w:t>Муниципальную программу предполагается реализовать в один этап - в 2020 - 2025 годах.</w:t>
      </w:r>
    </w:p>
    <w:p w14:paraId="48010000">
      <w:pPr>
        <w:ind w:firstLine="708" w:left="0" w:right="-165"/>
        <w:jc w:val="both"/>
        <w:rPr>
          <w:sz w:val="28"/>
        </w:rPr>
      </w:pPr>
    </w:p>
    <w:p w14:paraId="4901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3. </w:t>
      </w:r>
      <w:r>
        <w:rPr>
          <w:b w:val="1"/>
          <w:sz w:val="28"/>
        </w:rPr>
        <w:t>Сведения о показателях и индикаторах</w:t>
      </w:r>
    </w:p>
    <w:p w14:paraId="4A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>Муниципальной программы</w:t>
      </w:r>
    </w:p>
    <w:p w14:paraId="4B010000">
      <w:pPr>
        <w:ind w:firstLine="709" w:left="0" w:right="-165"/>
        <w:jc w:val="both"/>
        <w:rPr>
          <w:b w:val="1"/>
          <w:sz w:val="28"/>
        </w:rPr>
      </w:pPr>
    </w:p>
    <w:p w14:paraId="4C010000">
      <w:pPr>
        <w:ind w:firstLine="709" w:left="0" w:right="-165"/>
        <w:jc w:val="both"/>
        <w:rPr>
          <w:sz w:val="28"/>
        </w:rPr>
      </w:pPr>
      <w:r>
        <w:rPr>
          <w:sz w:val="28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,2</w:t>
      </w:r>
      <w:r>
        <w:rPr>
          <w:sz w:val="28"/>
        </w:rPr>
        <w:t xml:space="preserve"> к Муниципальной программе.</w:t>
      </w:r>
    </w:p>
    <w:p w14:paraId="4D010000">
      <w:pPr>
        <w:ind w:firstLine="709" w:left="0" w:right="-165"/>
        <w:jc w:val="both"/>
        <w:rPr>
          <w:sz w:val="28"/>
        </w:rPr>
      </w:pPr>
      <w:r>
        <w:rPr>
          <w:sz w:val="28"/>
        </w:rPr>
        <w:t>Значения данных показателей (индикаторов) Муниципальной программы характеризуют конечные общественно значимые результаты, непосредственные результаты и уровень удовлетворенности потребителей оказываемыми участниками Муниципальной программы муниципальными услугами (работами), их объемом и качеством.</w:t>
      </w:r>
    </w:p>
    <w:p w14:paraId="4E010000">
      <w:pPr>
        <w:ind w:firstLine="0" w:left="851" w:right="-165"/>
        <w:jc w:val="both"/>
        <w:rPr>
          <w:b w:val="1"/>
          <w:sz w:val="28"/>
        </w:rPr>
      </w:pPr>
    </w:p>
    <w:p w14:paraId="4F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>Раздел 4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Обобщенная характеристика основных мероприятий Муниципальной программы и ведомственных целевых программ, подпрограмм Муниципальной программы</w:t>
      </w:r>
    </w:p>
    <w:p w14:paraId="50010000">
      <w:pPr>
        <w:ind w:firstLine="0" w:left="851" w:right="-165"/>
        <w:jc w:val="both"/>
        <w:rPr>
          <w:sz w:val="28"/>
        </w:rPr>
      </w:pPr>
    </w:p>
    <w:p w14:paraId="51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Основные мероприятия подпрограмм Муниципальной программы предусматривают комплекс взаимосвязанных мер, направленных на достижение целей Муниципальной программы, а также на решение наиболее важных текущих и перспективных задач, обеспечивающих комплексное развитие сельских территорий.</w:t>
      </w:r>
    </w:p>
    <w:p w14:paraId="52010000">
      <w:pPr>
        <w:ind w:firstLine="709" w:left="0" w:right="-165"/>
        <w:jc w:val="both"/>
        <w:rPr>
          <w:sz w:val="28"/>
        </w:rPr>
      </w:pPr>
      <w:r>
        <w:rPr>
          <w:sz w:val="28"/>
        </w:rPr>
        <w:t>Муниципальная программой не предусматривается реализация ведомственных целевых программ.</w:t>
      </w:r>
    </w:p>
    <w:p w14:paraId="53010000">
      <w:pPr>
        <w:ind w:firstLine="709" w:left="0" w:right="-165"/>
        <w:jc w:val="both"/>
        <w:rPr>
          <w:sz w:val="28"/>
        </w:rPr>
      </w:pP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"consultantplus://offline/ref=266488D2FC7115E7294E6EA28A81AE7D68435B6DC28C8B2E9284D192ACDA42D788A511A694F845E8C04B2D46D0D4C252173426F57BECC3A33404CCR073G"</w:instrText>
      </w:r>
      <w:r>
        <w:rPr>
          <w:rStyle w:val="Style_10_ch"/>
        </w:rPr>
        <w:fldChar w:fldCharType="separate"/>
      </w:r>
      <w:r>
        <w:rPr>
          <w:rStyle w:val="Style_10_ch"/>
        </w:rPr>
        <w:t>Перечень</w:t>
      </w:r>
      <w:r>
        <w:rPr>
          <w:rStyle w:val="Style_10_ch"/>
        </w:rPr>
        <w:fldChar w:fldCharType="end"/>
      </w:r>
      <w:r>
        <w:rPr>
          <w:sz w:val="28"/>
        </w:rPr>
        <w:t xml:space="preserve"> основных мероприятий Муниципальной программы, подпрограмм Муниципальной про</w:t>
      </w:r>
      <w:r>
        <w:rPr>
          <w:sz w:val="28"/>
        </w:rPr>
        <w:t>граммы приведен в приложении № 3</w:t>
      </w:r>
      <w:r>
        <w:rPr>
          <w:sz w:val="28"/>
        </w:rPr>
        <w:t xml:space="preserve"> к Муниципальной программе.</w:t>
      </w:r>
    </w:p>
    <w:p w14:paraId="54010000">
      <w:pPr>
        <w:ind w:firstLine="840" w:left="0" w:right="-165"/>
        <w:jc w:val="both"/>
        <w:rPr>
          <w:sz w:val="28"/>
        </w:rPr>
      </w:pPr>
    </w:p>
    <w:p w14:paraId="55010000">
      <w:pPr>
        <w:ind w:right="-165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Раздел 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 xml:space="preserve"> Обобщенная характеристика мер государственного</w:t>
      </w:r>
      <w:r>
        <w:rPr>
          <w:b w:val="1"/>
          <w:sz w:val="28"/>
        </w:rPr>
        <w:t xml:space="preserve"> р</w:t>
      </w:r>
      <w:r>
        <w:rPr>
          <w:b w:val="1"/>
          <w:sz w:val="28"/>
        </w:rPr>
        <w:t>егулирования</w:t>
      </w:r>
    </w:p>
    <w:p w14:paraId="56010000">
      <w:pPr>
        <w:ind w:firstLine="0" w:left="851" w:right="-165"/>
        <w:jc w:val="both"/>
        <w:rPr>
          <w:sz w:val="28"/>
        </w:rPr>
      </w:pPr>
      <w:r>
        <w:rPr>
          <w:sz w:val="28"/>
        </w:rPr>
        <w:t>Реализация мероприятий программы предусматривает применение комплекса экономических, организационных, нормативных правовых мер:</w:t>
      </w:r>
    </w:p>
    <w:p w14:paraId="57010000">
      <w:pPr>
        <w:ind w:firstLine="540" w:left="0" w:right="-165"/>
        <w:jc w:val="both"/>
        <w:rPr>
          <w:sz w:val="28"/>
        </w:rPr>
      </w:pPr>
      <w:r>
        <w:rPr>
          <w:sz w:val="28"/>
        </w:rPr>
        <w:t>- программных мероприятий на текущий год и бюджетных заявок на их финансирование;</w:t>
      </w:r>
    </w:p>
    <w:p w14:paraId="58010000">
      <w:pPr>
        <w:ind w:firstLine="540" w:left="0" w:right="-165"/>
        <w:jc w:val="both"/>
        <w:rPr>
          <w:sz w:val="28"/>
        </w:rPr>
      </w:pPr>
      <w:r>
        <w:rPr>
          <w:sz w:val="28"/>
        </w:rPr>
        <w:t>- проектной и рабочей документации по реализации программных мероприятий, проведение конкурсов среди исполнителей и заключение договоров по итогам конкурсов;</w:t>
      </w:r>
    </w:p>
    <w:p w14:paraId="59010000">
      <w:pPr>
        <w:ind w:firstLine="540" w:left="0" w:right="-165"/>
        <w:jc w:val="both"/>
        <w:rPr>
          <w:sz w:val="28"/>
        </w:rPr>
      </w:pPr>
      <w:r>
        <w:rPr>
          <w:sz w:val="28"/>
        </w:rPr>
        <w:t>- контроль хода реализации мероприятий.</w:t>
      </w:r>
    </w:p>
    <w:p w14:paraId="5A010000">
      <w:pPr>
        <w:ind w:firstLine="720" w:left="0" w:right="-165"/>
        <w:jc w:val="both"/>
        <w:rPr>
          <w:sz w:val="28"/>
        </w:rPr>
      </w:pPr>
      <w:r>
        <w:rPr>
          <w:sz w:val="28"/>
        </w:rPr>
        <w:t>Администрация Горшеченского района с учетом выделяемых исполнителям программы на её реализацию финансовых средств ежегодно уточняет целевые показатели и затраты по мероприятиям программы, механизм   реализации   программы,   состав   исполнителей;   обеспечивает   подготовку   и   предоставление предложений по финансированию мероприятий программы в очередном финансовом году.</w:t>
      </w:r>
    </w:p>
    <w:p w14:paraId="5B010000">
      <w:pPr>
        <w:ind w:right="-165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Мероприятия программы предусматривается реализовывать на основе муниципальных контрактов, которые заключаются </w:t>
      </w:r>
      <w:r>
        <w:rPr>
          <w:sz w:val="28"/>
        </w:rPr>
        <w:t>А</w:t>
      </w:r>
      <w:r>
        <w:rPr>
          <w:sz w:val="28"/>
        </w:rPr>
        <w:t xml:space="preserve">дминистрацией Горшеченского района с исполнителем, победившим в конкурсе. </w:t>
      </w:r>
    </w:p>
    <w:p w14:paraId="5C010000">
      <w:pPr>
        <w:ind w:right="-165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Проведение конкурсов регламентируется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D010000">
      <w:pPr>
        <w:ind w:right="-165"/>
        <w:jc w:val="both"/>
        <w:rPr>
          <w:sz w:val="28"/>
        </w:rPr>
      </w:pPr>
    </w:p>
    <w:p w14:paraId="5E010000">
      <w:pPr>
        <w:pStyle w:val="Style_14"/>
        <w:numPr>
          <w:ilvl w:val="0"/>
          <w:numId w:val="0"/>
        </w:numPr>
        <w:tabs>
          <w:tab w:leader="none" w:pos="9214" w:val="right"/>
        </w:tabs>
        <w:ind w:firstLine="0" w:left="1985" w:right="-165"/>
        <w:jc w:val="left"/>
      </w:pPr>
      <w:r>
        <w:t xml:space="preserve">Раздел </w:t>
      </w:r>
      <w:r>
        <w:t>6</w:t>
      </w:r>
      <w:r>
        <w:t xml:space="preserve">. </w:t>
      </w:r>
      <w:r>
        <w:t>Перечень программных мероприятий</w:t>
      </w:r>
    </w:p>
    <w:p w14:paraId="5F010000">
      <w:pPr>
        <w:ind w:firstLine="709" w:left="0" w:right="-165"/>
        <w:jc w:val="center"/>
        <w:rPr>
          <w:b w:val="1"/>
          <w:sz w:val="28"/>
        </w:rPr>
      </w:pPr>
    </w:p>
    <w:p w14:paraId="60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Основные мероприятия, осуществляемые муниципальным образованием выполняются на основе софинансирования мероприятий за счет средств федерального, областного и местных бюджетов.</w:t>
      </w:r>
    </w:p>
    <w:p w14:paraId="61010000">
      <w:pPr>
        <w:ind w:firstLine="567" w:left="0" w:right="-165"/>
        <w:jc w:val="both"/>
        <w:rPr>
          <w:sz w:val="28"/>
        </w:rPr>
      </w:pPr>
      <w:r>
        <w:rPr>
          <w:sz w:val="28"/>
        </w:rPr>
        <w:t>Перечень программных мероприятий, сроки его реализа</w:t>
      </w:r>
      <w:r>
        <w:rPr>
          <w:sz w:val="28"/>
        </w:rPr>
        <w:t xml:space="preserve">ции приведены в приложении № </w:t>
      </w:r>
      <w:r>
        <w:rPr>
          <w:sz w:val="28"/>
        </w:rPr>
        <w:t>3</w:t>
      </w:r>
      <w:r>
        <w:rPr>
          <w:sz w:val="28"/>
        </w:rPr>
        <w:t xml:space="preserve"> к настоящей Программе. </w:t>
      </w:r>
    </w:p>
    <w:p w14:paraId="62010000">
      <w:pPr>
        <w:ind w:firstLine="567" w:left="0" w:right="-165"/>
        <w:jc w:val="both"/>
        <w:rPr>
          <w:sz w:val="28"/>
        </w:rPr>
      </w:pPr>
      <w:r>
        <w:rPr>
          <w:sz w:val="28"/>
        </w:rPr>
        <w:t>В ходе реализации Программы в 2020-202</w:t>
      </w:r>
      <w:r>
        <w:rPr>
          <w:sz w:val="28"/>
        </w:rPr>
        <w:t>7</w:t>
      </w:r>
      <w:r>
        <w:rPr>
          <w:sz w:val="28"/>
        </w:rPr>
        <w:t xml:space="preserve"> годах отдельные планируемые мероприятия  могут уточняться, а объемы финансирования корректироваться с учетом утвержденных расходов бюджета Администрации Горшеченского района</w:t>
      </w:r>
      <w:r>
        <w:rPr>
          <w:sz w:val="28"/>
        </w:rPr>
        <w:t xml:space="preserve"> </w:t>
      </w:r>
      <w:r>
        <w:rPr>
          <w:sz w:val="28"/>
        </w:rPr>
        <w:t>Курской области.</w:t>
      </w:r>
    </w:p>
    <w:p w14:paraId="63010000">
      <w:pPr>
        <w:tabs>
          <w:tab w:leader="none" w:pos="8364" w:val="left"/>
        </w:tabs>
        <w:ind w:firstLine="0" w:left="567" w:right="-165"/>
        <w:jc w:val="both"/>
        <w:rPr>
          <w:sz w:val="28"/>
        </w:rPr>
      </w:pPr>
    </w:p>
    <w:p w14:paraId="64010000">
      <w:pPr>
        <w:spacing w:line="480" w:lineRule="auto"/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</w:t>
      </w:r>
      <w:r>
        <w:rPr>
          <w:b w:val="1"/>
          <w:sz w:val="28"/>
        </w:rPr>
        <w:t>7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>Ресурсное обеспечение Муниципальной программы</w:t>
      </w:r>
    </w:p>
    <w:p w14:paraId="65010000">
      <w:pPr>
        <w:ind w:firstLine="709" w:left="0" w:right="-165"/>
        <w:jc w:val="both"/>
        <w:rPr>
          <w:sz w:val="28"/>
        </w:rPr>
      </w:pPr>
      <w:r>
        <w:rPr>
          <w:sz w:val="28"/>
        </w:rPr>
        <w:t>Объем финансовых ресурсов, необходимых для реализации Муниципальной программы, рассчитывается исходя из необходимости достижения запланированных целевых показателей Программы, с учетом достижения целей и задач подпрограммы Муниципальной программы и привлечения в порядке софинансирования средств федерального бюджета и областного бюджета, а также внебюджетных источников.</w:t>
      </w:r>
    </w:p>
    <w:p w14:paraId="66010000">
      <w:pPr>
        <w:tabs>
          <w:tab w:leader="none" w:pos="7155" w:val="left"/>
        </w:tabs>
        <w:ind w:right="-165"/>
        <w:jc w:val="both"/>
        <w:rPr>
          <w:sz w:val="28"/>
        </w:rPr>
      </w:pPr>
      <w:r>
        <w:rPr>
          <w:sz w:val="28"/>
        </w:rPr>
        <w:t>Средства из бюд</w:t>
      </w:r>
      <w:r>
        <w:rPr>
          <w:sz w:val="28"/>
        </w:rPr>
        <w:t>жета Горшеченского района Курской области на финансирование мероприятий выделяются на соответствующий финансовый год в пределах средств, предусмотренных на указанные цели решением Представительного Собрания Горшеченского района Курской области.</w:t>
      </w:r>
    </w:p>
    <w:p w14:paraId="67010000">
      <w:pPr>
        <w:tabs>
          <w:tab w:leader="none" w:pos="7155" w:val="left"/>
        </w:tabs>
        <w:ind w:right="-165"/>
        <w:jc w:val="both"/>
        <w:rPr>
          <w:sz w:val="28"/>
        </w:rPr>
      </w:pPr>
      <w:r>
        <w:rPr>
          <w:sz w:val="28"/>
        </w:rPr>
        <w:t>Объемы финансирования Муниципальной программы в ходе реализации могут кор</w:t>
      </w:r>
      <w:r>
        <w:rPr>
          <w:sz w:val="28"/>
        </w:rPr>
        <w:t>ректироваться с учетом утвержденных расходов бюджета Горшеченского района Курской области на соответствующий финансовый год, мероприятия - уточняться.</w:t>
      </w:r>
    </w:p>
    <w:p w14:paraId="68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Ресурсное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"consultantplus://offline/ref=B5A3237287FEC4C590E40C3B232B21FF05012EBC0DE39466A922F4B514B08018E4AA3B189ADC74C4FDECB36BD64E2033EC85D6BA977A6E6641DD8EKCkAH"</w:instrText>
      </w:r>
      <w:r>
        <w:rPr>
          <w:sz w:val="28"/>
        </w:rPr>
        <w:fldChar w:fldCharType="separate"/>
      </w:r>
      <w:r>
        <w:rPr>
          <w:sz w:val="28"/>
        </w:rPr>
        <w:t>обеспечение</w:t>
      </w:r>
      <w:r>
        <w:rPr>
          <w:sz w:val="28"/>
        </w:rPr>
        <w:fldChar w:fldCharType="end"/>
      </w:r>
      <w:r>
        <w:rPr>
          <w:sz w:val="28"/>
        </w:rPr>
        <w:t xml:space="preserve">, прогнозная (справочная) оценка расходов федерального бюджета, областного бюджета, местного бюджета на реализацию целей Муниципальной программы приведено в приложении № </w:t>
      </w:r>
      <w:r>
        <w:rPr>
          <w:sz w:val="28"/>
        </w:rPr>
        <w:t>4</w:t>
      </w:r>
      <w:r>
        <w:rPr>
          <w:sz w:val="28"/>
        </w:rPr>
        <w:t xml:space="preserve"> к Муниципальной программе.</w:t>
      </w:r>
    </w:p>
    <w:p w14:paraId="69010000">
      <w:pPr>
        <w:tabs>
          <w:tab w:leader="none" w:pos="7155" w:val="left"/>
        </w:tabs>
        <w:ind w:right="-165"/>
        <w:jc w:val="both"/>
        <w:rPr>
          <w:b w:val="1"/>
          <w:sz w:val="28"/>
        </w:rPr>
      </w:pPr>
    </w:p>
    <w:p w14:paraId="6A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</w:t>
      </w:r>
      <w:r>
        <w:rPr>
          <w:b w:val="1"/>
          <w:sz w:val="28"/>
        </w:rPr>
        <w:t>8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 xml:space="preserve"> Анализ рисков реализации Муниципальной программы  и описание мер управления  рисками</w:t>
      </w:r>
    </w:p>
    <w:p w14:paraId="6B010000">
      <w:pPr>
        <w:ind w:firstLine="709" w:left="0" w:right="-165"/>
        <w:jc w:val="both"/>
        <w:rPr>
          <w:sz w:val="28"/>
        </w:rPr>
      </w:pPr>
    </w:p>
    <w:p w14:paraId="6C010000">
      <w:pPr>
        <w:ind w:firstLine="709" w:left="0" w:right="-165"/>
        <w:jc w:val="both"/>
        <w:rPr>
          <w:sz w:val="28"/>
        </w:rPr>
      </w:pPr>
      <w:r>
        <w:rPr>
          <w:sz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14:paraId="6D010000">
      <w:pPr>
        <w:ind w:firstLine="709" w:left="0" w:right="-165"/>
        <w:jc w:val="both"/>
        <w:rPr>
          <w:sz w:val="28"/>
        </w:rPr>
      </w:pPr>
      <w:r>
        <w:rPr>
          <w:sz w:val="28"/>
        </w:rPr>
        <w:t>Муниципальная  программа предполагает реализацию мероприятий, направленных на достижение целей, обозначенных Программой.</w:t>
      </w:r>
    </w:p>
    <w:p w14:paraId="6E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Среди основных проблем, социальных и финансово-экономических рисков развития сельских территорий можно выделить следующие:</w:t>
      </w:r>
    </w:p>
    <w:p w14:paraId="6F01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снижение уровня жизни всего населения муниципального образования в силу политических или макроэкономических причин; </w:t>
      </w:r>
    </w:p>
    <w:p w14:paraId="70010000">
      <w:pPr>
        <w:ind w:firstLine="709" w:left="0" w:right="-165"/>
        <w:jc w:val="both"/>
        <w:rPr>
          <w:sz w:val="28"/>
        </w:rPr>
      </w:pPr>
      <w:r>
        <w:rPr>
          <w:sz w:val="28"/>
        </w:rPr>
        <w:t>бюджетный дефицит и сокращение финансирования Муниципальной программы</w:t>
      </w:r>
      <w:r>
        <w:rPr>
          <w:sz w:val="28"/>
        </w:rPr>
        <w:t>.</w:t>
      </w:r>
    </w:p>
    <w:p w14:paraId="71010000">
      <w:pPr>
        <w:ind w:firstLine="709" w:left="0" w:right="-165"/>
        <w:jc w:val="both"/>
        <w:rPr>
          <w:sz w:val="28"/>
        </w:rPr>
      </w:pPr>
      <w:r>
        <w:rPr>
          <w:sz w:val="28"/>
        </w:rPr>
        <w:t>Управление рисками реализации Муниципальной программы будет осуществляться на основе проведения мониторинга в рамках годового отчета о ходе реализации и оценки эффективности Муниципальной программы.</w:t>
      </w:r>
    </w:p>
    <w:p w14:paraId="72010000">
      <w:pPr>
        <w:ind w:firstLine="709" w:left="0" w:right="-165"/>
        <w:jc w:val="both"/>
        <w:rPr>
          <w:sz w:val="28"/>
        </w:rPr>
      </w:pPr>
    </w:p>
    <w:p w14:paraId="73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</w:t>
      </w:r>
      <w:r>
        <w:rPr>
          <w:b w:val="1"/>
          <w:sz w:val="28"/>
        </w:rPr>
        <w:t>9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 xml:space="preserve">Методика оценки эффективности </w:t>
      </w:r>
    </w:p>
    <w:p w14:paraId="74010000">
      <w:pPr>
        <w:ind w:firstLine="709" w:left="0"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Муниципальной программы  </w:t>
      </w:r>
    </w:p>
    <w:p w14:paraId="75010000">
      <w:pPr>
        <w:ind w:firstLine="709" w:left="0" w:right="-165"/>
        <w:jc w:val="both"/>
        <w:rPr>
          <w:sz w:val="28"/>
        </w:rPr>
      </w:pPr>
    </w:p>
    <w:p w14:paraId="76010000">
      <w:pPr>
        <w:ind w:firstLine="709" w:left="0" w:right="-165"/>
        <w:jc w:val="both"/>
        <w:rPr>
          <w:sz w:val="28"/>
        </w:rPr>
      </w:pPr>
      <w:r>
        <w:rPr>
          <w:sz w:val="28"/>
        </w:rPr>
        <w:t>1. 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эффективности.</w:t>
      </w:r>
    </w:p>
    <w:p w14:paraId="77010000">
      <w:pPr>
        <w:ind w:firstLine="709" w:left="0" w:right="-165"/>
        <w:jc w:val="both"/>
        <w:rPr>
          <w:sz w:val="28"/>
        </w:rPr>
      </w:pPr>
      <w:r>
        <w:rPr>
          <w:sz w:val="28"/>
        </w:rPr>
        <w:t>2. Оценка эффективности Муниципальной программы производится с учетом следующих составляющих:</w:t>
      </w:r>
    </w:p>
    <w:p w14:paraId="78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оценка степени достижения целей и решения задач Муниципальной программы;</w:t>
      </w:r>
    </w:p>
    <w:p w14:paraId="79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оценка степени реализации основных мероприятий и достижения ожидаемых непосредственных результатов их реализации (далее - оценка степени реализации мероприятий);</w:t>
      </w:r>
    </w:p>
    <w:p w14:paraId="7A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оценка степени соответствия запланированному уровню затрат;</w:t>
      </w:r>
    </w:p>
    <w:p w14:paraId="7B010000">
      <w:pPr>
        <w:ind w:firstLine="709" w:left="0" w:right="-165"/>
        <w:jc w:val="both"/>
        <w:rPr>
          <w:sz w:val="28"/>
        </w:rPr>
      </w:pPr>
      <w:r>
        <w:rPr>
          <w:sz w:val="28"/>
        </w:rPr>
        <w:t>оценка эффективности использования средств местного бюджета.</w:t>
      </w:r>
    </w:p>
    <w:p w14:paraId="7C010000">
      <w:pPr>
        <w:ind w:firstLine="709" w:left="0" w:right="-165"/>
        <w:jc w:val="both"/>
        <w:rPr>
          <w:sz w:val="28"/>
        </w:rPr>
      </w:pPr>
      <w:r>
        <w:rPr>
          <w:sz w:val="28"/>
        </w:rPr>
        <w:t>3. Степень реализации мероприятий оценивается для Программы как доля мероприятий, выполненных в полном объеме, по следующей формуле:</w:t>
      </w:r>
    </w:p>
    <w:p w14:paraId="7D010000">
      <w:pPr>
        <w:ind w:firstLine="709" w:left="0" w:right="-165"/>
        <w:jc w:val="both"/>
        <w:outlineLvl w:val="0"/>
        <w:rPr>
          <w:sz w:val="28"/>
        </w:rPr>
      </w:pPr>
    </w:p>
    <w:p w14:paraId="7E010000">
      <w:pPr>
        <w:ind w:firstLine="709" w:left="0" w:right="-165"/>
        <w:jc w:val="center"/>
        <w:rPr>
          <w:sz w:val="28"/>
        </w:rPr>
      </w:pPr>
      <w:r>
        <w:rPr>
          <w:sz w:val="28"/>
        </w:rPr>
        <w:t>СРм = Мв / М,</w:t>
      </w:r>
    </w:p>
    <w:p w14:paraId="7F010000">
      <w:pPr>
        <w:ind w:firstLine="709" w:left="0" w:right="-165"/>
        <w:jc w:val="both"/>
        <w:rPr>
          <w:sz w:val="28"/>
        </w:rPr>
      </w:pPr>
    </w:p>
    <w:p w14:paraId="80010000">
      <w:pPr>
        <w:ind w:firstLine="709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81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СРм - степень реализации мероприятий;</w:t>
      </w:r>
    </w:p>
    <w:p w14:paraId="82010000">
      <w:pPr>
        <w:ind w:firstLine="709" w:left="0" w:right="-165"/>
        <w:jc w:val="both"/>
        <w:rPr>
          <w:sz w:val="28"/>
        </w:rPr>
      </w:pPr>
      <w:r>
        <w:rPr>
          <w:sz w:val="28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14:paraId="83010000">
      <w:pPr>
        <w:ind w:firstLine="709" w:left="0" w:right="-165"/>
        <w:jc w:val="both"/>
        <w:rPr>
          <w:sz w:val="28"/>
        </w:rPr>
      </w:pPr>
      <w:r>
        <w:rPr>
          <w:sz w:val="28"/>
        </w:rPr>
        <w:t>М - общее количество мероприятий, запланированных к реализации в отчетном году.</w:t>
      </w:r>
    </w:p>
    <w:p w14:paraId="84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Степень реализации мероприятий рассчитывается для всех мероприятий Муниципальной программы.</w:t>
      </w:r>
    </w:p>
    <w:p w14:paraId="85010000">
      <w:pPr>
        <w:ind w:firstLine="709" w:left="0" w:right="-165"/>
        <w:jc w:val="both"/>
        <w:rPr>
          <w:sz w:val="28"/>
        </w:rPr>
      </w:pPr>
      <w:r>
        <w:rPr>
          <w:sz w:val="28"/>
        </w:rPr>
        <w:t>4. Мероприятие может считаться выполненным в полном объеме при достижении следующих результатов:</w:t>
      </w:r>
    </w:p>
    <w:p w14:paraId="86010000">
      <w:pPr>
        <w:ind w:firstLine="709" w:left="0" w:right="-165"/>
        <w:jc w:val="both"/>
        <w:rPr>
          <w:sz w:val="28"/>
        </w:rPr>
      </w:pPr>
      <w:r>
        <w:rPr>
          <w:sz w:val="28"/>
        </w:rPr>
        <w:t>мероприятие, результаты которого оцениваются на основании числовых (в абсолютных или относительных величинах) значений показателей (индикаторов), считается выполненным в полном объеме, если фактически достигнутое значение показателя (индикатора) составляет не менее 95%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мероприятию. В том случае, когда для описания результатов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процентах.</w:t>
      </w:r>
    </w:p>
    <w:p w14:paraId="87010000">
      <w:pPr>
        <w:ind w:firstLine="709" w:left="0" w:right="-165"/>
        <w:jc w:val="both"/>
        <w:rPr>
          <w:sz w:val="28"/>
        </w:rPr>
      </w:pPr>
      <w:bookmarkStart w:id="1" w:name="Par23"/>
      <w:bookmarkEnd w:id="1"/>
      <w:r>
        <w:rPr>
          <w:sz w:val="28"/>
        </w:rPr>
        <w:t>5. Степень соответствия запланированному уровню затрат оценивается для Программы как отношение фактически произведенных в отчетном году расходов на реализацию Программы к их плановым значениям по следующей формуле:</w:t>
      </w:r>
    </w:p>
    <w:p w14:paraId="88010000">
      <w:pPr>
        <w:ind w:firstLine="709" w:left="0" w:right="-165"/>
        <w:jc w:val="both"/>
        <w:rPr>
          <w:sz w:val="28"/>
        </w:rPr>
      </w:pPr>
    </w:p>
    <w:p w14:paraId="89010000">
      <w:pPr>
        <w:ind w:firstLine="709" w:left="0" w:right="-165"/>
        <w:jc w:val="center"/>
        <w:rPr>
          <w:sz w:val="28"/>
        </w:rPr>
      </w:pPr>
      <w:r>
        <w:rPr>
          <w:sz w:val="28"/>
        </w:rPr>
        <w:t>СС</w:t>
      </w:r>
      <w:r>
        <w:rPr>
          <w:sz w:val="28"/>
          <w:vertAlign w:val="subscript"/>
        </w:rPr>
        <w:t>уз</w:t>
      </w:r>
      <w:r>
        <w:rPr>
          <w:sz w:val="28"/>
        </w:rPr>
        <w:t xml:space="preserve"> = З</w:t>
      </w:r>
      <w:r>
        <w:rPr>
          <w:sz w:val="28"/>
          <w:vertAlign w:val="subscript"/>
        </w:rPr>
        <w:t>ф</w:t>
      </w:r>
      <w:r>
        <w:rPr>
          <w:sz w:val="28"/>
        </w:rPr>
        <w:t xml:space="preserve"> / З</w:t>
      </w:r>
      <w:r>
        <w:rPr>
          <w:sz w:val="28"/>
          <w:vertAlign w:val="subscript"/>
        </w:rPr>
        <w:t>п</w:t>
      </w:r>
      <w:r>
        <w:rPr>
          <w:sz w:val="28"/>
        </w:rPr>
        <w:t>,</w:t>
      </w:r>
    </w:p>
    <w:p w14:paraId="8A010000">
      <w:pPr>
        <w:ind w:firstLine="709" w:left="0" w:right="-165"/>
        <w:jc w:val="both"/>
        <w:rPr>
          <w:sz w:val="28"/>
        </w:rPr>
      </w:pPr>
    </w:p>
    <w:p w14:paraId="8B010000">
      <w:pPr>
        <w:ind w:firstLine="709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8C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СС</w:t>
      </w:r>
      <w:r>
        <w:rPr>
          <w:sz w:val="28"/>
          <w:vertAlign w:val="subscript"/>
        </w:rPr>
        <w:t>уз</w:t>
      </w:r>
      <w:r>
        <w:rPr>
          <w:sz w:val="28"/>
        </w:rPr>
        <w:t xml:space="preserve"> - степень соответствия запланированному уровню расходов;</w:t>
      </w:r>
    </w:p>
    <w:p w14:paraId="8D010000">
      <w:pPr>
        <w:ind w:firstLine="709" w:left="0" w:right="-165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  <w:vertAlign w:val="subscript"/>
        </w:rPr>
        <w:t>ф</w:t>
      </w:r>
      <w:r>
        <w:rPr>
          <w:sz w:val="28"/>
        </w:rPr>
        <w:t xml:space="preserve"> - фактические расходы на реализацию Программы в отчетном году;</w:t>
      </w:r>
    </w:p>
    <w:p w14:paraId="8E010000">
      <w:pPr>
        <w:ind w:firstLine="709" w:left="0" w:right="-165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  <w:vertAlign w:val="subscript"/>
        </w:rPr>
        <w:t>п</w:t>
      </w:r>
      <w:r>
        <w:rPr>
          <w:sz w:val="28"/>
        </w:rPr>
        <w:t xml:space="preserve"> - плановые расходы на реализацию Программы в отчетном году.</w:t>
      </w:r>
    </w:p>
    <w:p w14:paraId="8F010000">
      <w:pPr>
        <w:ind w:firstLine="709" w:left="0" w:right="-165"/>
        <w:jc w:val="both"/>
        <w:rPr>
          <w:sz w:val="28"/>
        </w:rPr>
      </w:pPr>
      <w:r>
        <w:rPr>
          <w:sz w:val="28"/>
        </w:rPr>
        <w:t>6. В составе показателя «степень соответствия запланированному уровню расходов» учитываются расходы из всех источников.</w:t>
      </w:r>
    </w:p>
    <w:p w14:paraId="90010000">
      <w:pPr>
        <w:ind w:firstLine="709" w:left="0" w:right="-165"/>
        <w:jc w:val="both"/>
        <w:rPr>
          <w:sz w:val="28"/>
        </w:rPr>
      </w:pPr>
      <w:r>
        <w:rPr>
          <w:sz w:val="28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Программы в сводной бюджетной росписи местного бюджета по состоянию на 31 декабря отчетного года.</w:t>
      </w:r>
    </w:p>
    <w:p w14:paraId="91010000">
      <w:pPr>
        <w:ind w:firstLine="709" w:left="0" w:right="-165"/>
        <w:jc w:val="both"/>
        <w:rPr>
          <w:sz w:val="28"/>
        </w:rPr>
      </w:pPr>
      <w:r>
        <w:rPr>
          <w:sz w:val="28"/>
        </w:rPr>
        <w:t>В качестве плановых расходов из средств иных источников используются данные по объемам расходов, предусмотренных за счет соответствующих источников на реализацию Программы в соответствии с действующей на момент проведения оценки эффективности редакцией Муниципальной программы.</w:t>
      </w:r>
    </w:p>
    <w:p w14:paraId="92010000">
      <w:pPr>
        <w:ind w:firstLine="709" w:left="0" w:right="-165"/>
        <w:jc w:val="both"/>
        <w:rPr>
          <w:sz w:val="28"/>
        </w:rPr>
      </w:pPr>
      <w:r>
        <w:rPr>
          <w:sz w:val="28"/>
        </w:rPr>
        <w:t>7. Эффективность использования средств местного бюджета рассчитывается для 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14:paraId="93010000">
      <w:pPr>
        <w:ind w:firstLine="709" w:left="0" w:right="-165"/>
        <w:jc w:val="both"/>
        <w:rPr>
          <w:sz w:val="28"/>
        </w:rPr>
      </w:pPr>
    </w:p>
    <w:p w14:paraId="94010000">
      <w:pPr>
        <w:ind w:firstLine="709" w:left="0" w:right="-165"/>
        <w:jc w:val="center"/>
        <w:rPr>
          <w:sz w:val="28"/>
        </w:rPr>
      </w:pPr>
      <w:r>
        <w:rPr>
          <w:sz w:val="28"/>
        </w:rPr>
        <w:t>Э</w:t>
      </w:r>
      <w:r>
        <w:rPr>
          <w:sz w:val="28"/>
          <w:vertAlign w:val="subscript"/>
        </w:rPr>
        <w:t>ис</w:t>
      </w:r>
      <w:r>
        <w:rPr>
          <w:sz w:val="28"/>
        </w:rPr>
        <w:t xml:space="preserve"> = СР</w:t>
      </w:r>
      <w:r>
        <w:rPr>
          <w:sz w:val="28"/>
          <w:vertAlign w:val="subscript"/>
        </w:rPr>
        <w:t>м</w:t>
      </w:r>
      <w:r>
        <w:rPr>
          <w:sz w:val="28"/>
        </w:rPr>
        <w:t xml:space="preserve"> / СС</w:t>
      </w:r>
      <w:r>
        <w:rPr>
          <w:sz w:val="28"/>
          <w:vertAlign w:val="subscript"/>
        </w:rPr>
        <w:t>уз</w:t>
      </w:r>
      <w:r>
        <w:rPr>
          <w:sz w:val="28"/>
        </w:rPr>
        <w:t>,</w:t>
      </w:r>
    </w:p>
    <w:p w14:paraId="95010000">
      <w:pPr>
        <w:ind w:firstLine="709" w:left="0" w:right="-165"/>
        <w:jc w:val="both"/>
        <w:rPr>
          <w:sz w:val="28"/>
        </w:rPr>
      </w:pPr>
    </w:p>
    <w:p w14:paraId="96010000">
      <w:pPr>
        <w:ind w:firstLine="709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97010000">
      <w:pPr>
        <w:ind w:firstLine="709" w:left="0" w:right="-165"/>
        <w:jc w:val="both"/>
        <w:rPr>
          <w:sz w:val="28"/>
        </w:rPr>
      </w:pPr>
      <w:r>
        <w:rPr>
          <w:sz w:val="28"/>
        </w:rPr>
        <w:t>Э</w:t>
      </w:r>
      <w:r>
        <w:rPr>
          <w:sz w:val="28"/>
          <w:vertAlign w:val="subscript"/>
        </w:rPr>
        <w:t>ис</w:t>
      </w:r>
      <w:r>
        <w:rPr>
          <w:sz w:val="28"/>
        </w:rPr>
        <w:t xml:space="preserve"> - эффективность использования средств местного бюджета;</w:t>
      </w:r>
    </w:p>
    <w:p w14:paraId="98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СР</w:t>
      </w:r>
      <w:r>
        <w:rPr>
          <w:sz w:val="28"/>
          <w:vertAlign w:val="subscript"/>
        </w:rPr>
        <w:t>м</w:t>
      </w:r>
      <w:r>
        <w:rPr>
          <w:sz w:val="28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14:paraId="99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СС</w:t>
      </w:r>
      <w:r>
        <w:rPr>
          <w:sz w:val="28"/>
          <w:vertAlign w:val="subscript"/>
        </w:rPr>
        <w:t>уз</w:t>
      </w:r>
      <w:r>
        <w:rPr>
          <w:sz w:val="28"/>
        </w:rPr>
        <w:t xml:space="preserve"> - степень соответствия запланированному уровню расходов из средств местного бюджета.</w:t>
      </w:r>
    </w:p>
    <w:p w14:paraId="9A010000">
      <w:pPr>
        <w:ind w:firstLine="709" w:left="0" w:right="-165"/>
        <w:jc w:val="both"/>
        <w:rPr>
          <w:sz w:val="28"/>
        </w:rPr>
      </w:pPr>
      <w:r>
        <w:rPr>
          <w:sz w:val="28"/>
        </w:rPr>
        <w:t>Если доля финансового обеспечения реализации Программы из средств местного бюджета составляет менее 75%,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Программы.</w:t>
      </w:r>
    </w:p>
    <w:p w14:paraId="9B010000">
      <w:pPr>
        <w:ind w:firstLine="709" w:left="0" w:right="-165"/>
        <w:jc w:val="both"/>
        <w:rPr>
          <w:sz w:val="28"/>
        </w:rPr>
      </w:pPr>
      <w:r>
        <w:rPr>
          <w:sz w:val="28"/>
        </w:rPr>
        <w:t>Данный показатель рассчитывается по формуле:</w:t>
      </w:r>
    </w:p>
    <w:p w14:paraId="9C010000">
      <w:pPr>
        <w:ind w:firstLine="709" w:left="0" w:right="-165"/>
        <w:jc w:val="both"/>
        <w:rPr>
          <w:sz w:val="28"/>
        </w:rPr>
      </w:pPr>
    </w:p>
    <w:p w14:paraId="9D010000">
      <w:pPr>
        <w:ind w:firstLine="709" w:left="0" w:right="-165"/>
        <w:jc w:val="center"/>
        <w:rPr>
          <w:sz w:val="28"/>
        </w:rPr>
      </w:pPr>
      <w:r>
        <w:rPr>
          <w:sz w:val="28"/>
        </w:rPr>
        <w:t>Э</w:t>
      </w:r>
      <w:r>
        <w:rPr>
          <w:sz w:val="28"/>
          <w:vertAlign w:val="subscript"/>
        </w:rPr>
        <w:t>ис</w:t>
      </w:r>
      <w:r>
        <w:rPr>
          <w:sz w:val="28"/>
        </w:rPr>
        <w:t xml:space="preserve"> = СР</w:t>
      </w:r>
      <w:r>
        <w:rPr>
          <w:sz w:val="28"/>
          <w:vertAlign w:val="subscript"/>
        </w:rPr>
        <w:t>м</w:t>
      </w:r>
      <w:r>
        <w:rPr>
          <w:sz w:val="28"/>
        </w:rPr>
        <w:t xml:space="preserve"> / СС</w:t>
      </w:r>
      <w:r>
        <w:rPr>
          <w:sz w:val="28"/>
          <w:vertAlign w:val="subscript"/>
        </w:rPr>
        <w:t>уз</w:t>
      </w:r>
      <w:r>
        <w:rPr>
          <w:sz w:val="28"/>
        </w:rPr>
        <w:t>,</w:t>
      </w:r>
    </w:p>
    <w:p w14:paraId="9E010000">
      <w:pPr>
        <w:ind w:firstLine="709" w:left="0" w:right="-165"/>
        <w:jc w:val="both"/>
        <w:rPr>
          <w:sz w:val="28"/>
        </w:rPr>
      </w:pPr>
    </w:p>
    <w:p w14:paraId="9F010000">
      <w:pPr>
        <w:ind w:firstLine="709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A0010000">
      <w:pPr>
        <w:ind w:firstLine="709" w:left="0" w:right="-165"/>
        <w:jc w:val="both"/>
        <w:rPr>
          <w:sz w:val="28"/>
        </w:rPr>
      </w:pPr>
      <w:r>
        <w:rPr>
          <w:sz w:val="28"/>
        </w:rPr>
        <w:t>Э</w:t>
      </w:r>
      <w:r>
        <w:rPr>
          <w:sz w:val="28"/>
          <w:vertAlign w:val="subscript"/>
        </w:rPr>
        <w:t>ис</w:t>
      </w:r>
      <w:r>
        <w:rPr>
          <w:sz w:val="28"/>
        </w:rPr>
        <w:t xml:space="preserve"> - эффективность использования финансовых ресурсов на реализацию Программы;</w:t>
      </w:r>
    </w:p>
    <w:p w14:paraId="A1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СР</w:t>
      </w:r>
      <w:r>
        <w:rPr>
          <w:sz w:val="28"/>
          <w:vertAlign w:val="subscript"/>
        </w:rPr>
        <w:t>м</w:t>
      </w:r>
      <w:r>
        <w:rPr>
          <w:sz w:val="28"/>
        </w:rPr>
        <w:t xml:space="preserve"> - степень реализации всех мероприятий Программы;</w:t>
      </w:r>
    </w:p>
    <w:p w14:paraId="A2010000">
      <w:pPr>
        <w:ind w:firstLine="709" w:left="0" w:right="-165"/>
        <w:jc w:val="both"/>
        <w:rPr>
          <w:sz w:val="28"/>
        </w:rPr>
      </w:pPr>
      <w:r>
        <w:rPr>
          <w:sz w:val="28"/>
        </w:rPr>
        <w:t>СС</w:t>
      </w:r>
      <w:r>
        <w:rPr>
          <w:sz w:val="28"/>
          <w:vertAlign w:val="subscript"/>
        </w:rPr>
        <w:t>уз</w:t>
      </w:r>
      <w:r>
        <w:rPr>
          <w:sz w:val="28"/>
        </w:rPr>
        <w:t xml:space="preserve"> - степень соответствия запланированному уровню расходов из всех источников.</w:t>
      </w:r>
    </w:p>
    <w:p w14:paraId="A3010000">
      <w:pPr>
        <w:ind w:firstLine="709" w:left="0" w:right="-165"/>
        <w:jc w:val="both"/>
        <w:rPr>
          <w:sz w:val="28"/>
        </w:rPr>
      </w:pPr>
      <w:r>
        <w:rPr>
          <w:sz w:val="28"/>
        </w:rPr>
        <w:t>8. Для оценки степени достижения целей и решения задач (далее - степень реализации) Программы определяется степень достижения плановых значений каждого показателя (индикатора), характеризующего цели и задачи подпрограммы.</w:t>
      </w:r>
    </w:p>
    <w:p w14:paraId="A4010000">
      <w:pPr>
        <w:ind w:firstLine="540" w:left="0" w:right="-165"/>
        <w:jc w:val="both"/>
        <w:rPr>
          <w:sz w:val="28"/>
        </w:rPr>
      </w:pPr>
      <w:r>
        <w:rPr>
          <w:sz w:val="28"/>
        </w:rPr>
        <w:t>9. Степень достижения планового значения показателя (индикатора) рассчитывается по следующим формулам:</w:t>
      </w:r>
    </w:p>
    <w:p w14:paraId="A5010000">
      <w:pPr>
        <w:ind w:firstLine="540" w:left="0" w:right="-165"/>
        <w:jc w:val="both"/>
        <w:rPr>
          <w:sz w:val="28"/>
        </w:rPr>
      </w:pPr>
      <w:r>
        <w:rPr>
          <w:sz w:val="28"/>
        </w:rPr>
        <w:t>для показателей (индикаторов), желаемой тенденцией развития которых является увеличение значений:</w:t>
      </w:r>
    </w:p>
    <w:p w14:paraId="A6010000">
      <w:pPr>
        <w:ind w:right="-165"/>
        <w:jc w:val="both"/>
        <w:rPr>
          <w:sz w:val="28"/>
        </w:rPr>
      </w:pPr>
    </w:p>
    <w:p w14:paraId="A7010000">
      <w:pPr>
        <w:ind w:right="-165"/>
        <w:jc w:val="center"/>
        <w:rPr>
          <w:sz w:val="28"/>
        </w:rPr>
      </w:pPr>
      <w:r>
        <w:rPr>
          <w:sz w:val="28"/>
        </w:rPr>
        <w:t>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= ЗП</w:t>
      </w:r>
      <w:r>
        <w:rPr>
          <w:sz w:val="28"/>
          <w:vertAlign w:val="subscript"/>
        </w:rPr>
        <w:t>п/пф</w:t>
      </w:r>
      <w:r>
        <w:rPr>
          <w:sz w:val="28"/>
        </w:rPr>
        <w:t xml:space="preserve"> / ЗП</w:t>
      </w:r>
      <w:r>
        <w:rPr>
          <w:sz w:val="28"/>
          <w:vertAlign w:val="subscript"/>
        </w:rPr>
        <w:t>п/пп</w:t>
      </w:r>
      <w:r>
        <w:rPr>
          <w:sz w:val="28"/>
        </w:rPr>
        <w:t>;</w:t>
      </w:r>
    </w:p>
    <w:p w14:paraId="A8010000">
      <w:pPr>
        <w:ind w:right="-165"/>
        <w:jc w:val="both"/>
        <w:rPr>
          <w:sz w:val="28"/>
        </w:rPr>
      </w:pPr>
    </w:p>
    <w:p w14:paraId="A9010000">
      <w:pPr>
        <w:ind w:firstLine="540" w:left="0" w:right="-165"/>
        <w:jc w:val="both"/>
        <w:rPr>
          <w:sz w:val="28"/>
        </w:rPr>
      </w:pPr>
      <w:r>
        <w:rPr>
          <w:sz w:val="28"/>
        </w:rPr>
        <w:t>для показателей (индикаторов), желаемой тенденцией развития которых является снижение значений:</w:t>
      </w:r>
    </w:p>
    <w:p w14:paraId="AA010000">
      <w:pPr>
        <w:ind w:right="-165"/>
        <w:jc w:val="both"/>
        <w:rPr>
          <w:sz w:val="28"/>
        </w:rPr>
      </w:pPr>
    </w:p>
    <w:p w14:paraId="AB010000">
      <w:pPr>
        <w:ind w:right="-165"/>
        <w:jc w:val="center"/>
        <w:rPr>
          <w:sz w:val="28"/>
        </w:rPr>
      </w:pPr>
      <w:r>
        <w:rPr>
          <w:sz w:val="28"/>
        </w:rPr>
        <w:t>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= ЗП</w:t>
      </w:r>
      <w:r>
        <w:rPr>
          <w:sz w:val="28"/>
          <w:vertAlign w:val="subscript"/>
        </w:rPr>
        <w:t>п/пп</w:t>
      </w:r>
      <w:r>
        <w:rPr>
          <w:sz w:val="28"/>
        </w:rPr>
        <w:t xml:space="preserve"> / ЗП</w:t>
      </w:r>
      <w:r>
        <w:rPr>
          <w:sz w:val="28"/>
          <w:vertAlign w:val="subscript"/>
        </w:rPr>
        <w:t>п/пф</w:t>
      </w:r>
      <w:r>
        <w:rPr>
          <w:sz w:val="28"/>
        </w:rPr>
        <w:t>,</w:t>
      </w:r>
    </w:p>
    <w:p w14:paraId="AC010000">
      <w:pPr>
        <w:ind w:right="-165"/>
        <w:jc w:val="both"/>
        <w:rPr>
          <w:sz w:val="28"/>
        </w:rPr>
      </w:pPr>
    </w:p>
    <w:p w14:paraId="AD010000">
      <w:pPr>
        <w:ind w:firstLine="540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AE010000">
      <w:pPr>
        <w:ind w:firstLine="540" w:left="0" w:right="-165"/>
        <w:jc w:val="both"/>
        <w:rPr>
          <w:sz w:val="28"/>
        </w:rPr>
      </w:pPr>
      <w:r>
        <w:rPr>
          <w:sz w:val="28"/>
        </w:rPr>
        <w:t>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- степень достижения планового значения показателя (индикатора, характеризующего цели и задачи Программы);</w:t>
      </w:r>
    </w:p>
    <w:p w14:paraId="AF010000">
      <w:pPr>
        <w:ind w:firstLine="540" w:left="0" w:right="-165"/>
        <w:jc w:val="both"/>
        <w:rPr>
          <w:sz w:val="28"/>
        </w:rPr>
      </w:pPr>
      <w:r>
        <w:rPr>
          <w:sz w:val="28"/>
        </w:rPr>
        <w:t>ЗП</w:t>
      </w:r>
      <w:r>
        <w:rPr>
          <w:sz w:val="28"/>
          <w:vertAlign w:val="subscript"/>
        </w:rPr>
        <w:t>п/пф</w:t>
      </w:r>
      <w:r>
        <w:rPr>
          <w:sz w:val="28"/>
        </w:rPr>
        <w:t xml:space="preserve"> - значение показателя (индикатора), характеризующего цели и задачи Программы, фактически достигнутое на конец отчетного периода;</w:t>
      </w:r>
    </w:p>
    <w:p w14:paraId="B0010000">
      <w:pPr>
        <w:ind w:firstLine="540" w:left="0" w:right="-165"/>
        <w:jc w:val="both"/>
        <w:rPr>
          <w:sz w:val="28"/>
        </w:rPr>
      </w:pPr>
      <w:r>
        <w:rPr>
          <w:sz w:val="28"/>
        </w:rPr>
        <w:t>ЗП</w:t>
      </w:r>
      <w:r>
        <w:rPr>
          <w:sz w:val="28"/>
          <w:vertAlign w:val="subscript"/>
        </w:rPr>
        <w:t>п/пп</w:t>
      </w:r>
      <w:r>
        <w:rPr>
          <w:sz w:val="28"/>
        </w:rPr>
        <w:t xml:space="preserve"> - плановое значение показателя (индикатора), характеризующего цели и задачи Программы.</w:t>
      </w:r>
    </w:p>
    <w:p w14:paraId="B1010000">
      <w:pPr>
        <w:ind w:firstLine="540" w:left="0" w:right="-165"/>
        <w:jc w:val="both"/>
        <w:rPr>
          <w:sz w:val="28"/>
        </w:rPr>
      </w:pPr>
      <w:r>
        <w:rPr>
          <w:sz w:val="28"/>
        </w:rPr>
        <w:t>10. Степень реализации Программы рассчитывается по формуле:</w:t>
      </w:r>
    </w:p>
    <w:p w14:paraId="B2010000">
      <w:pPr>
        <w:ind w:right="-165"/>
        <w:jc w:val="both"/>
        <w:rPr>
          <w:sz w:val="28"/>
        </w:rPr>
      </w:pPr>
    </w:p>
    <w:p w14:paraId="B3010000">
      <w:pPr>
        <w:ind w:right="-165"/>
        <w:jc w:val="center"/>
        <w:rPr>
          <w:sz w:val="28"/>
        </w:rPr>
      </w:pPr>
      <w:r>
        <w:rPr>
          <w:sz w:val="28"/>
        </w:rPr>
        <w:drawing>
          <wp:inline>
            <wp:extent cx="2028190" cy="57188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4"/>
                    <a:srcRect b="0" l="0" r="0" t="0"/>
                    <a:stretch/>
                  </pic:blipFill>
                  <pic:spPr>
                    <a:xfrm flipH="false" flipV="false" rot="0">
                      <a:ext cx="2028190" cy="5718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010000">
      <w:pPr>
        <w:ind w:right="-165"/>
        <w:jc w:val="both"/>
        <w:rPr>
          <w:sz w:val="28"/>
        </w:rPr>
      </w:pPr>
    </w:p>
    <w:p w14:paraId="B5010000">
      <w:pPr>
        <w:ind w:firstLine="540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B6010000">
      <w:pPr>
        <w:ind w:firstLine="540" w:left="0" w:right="-165"/>
        <w:jc w:val="both"/>
        <w:rPr>
          <w:sz w:val="28"/>
        </w:rPr>
      </w:pPr>
      <w:r>
        <w:rPr>
          <w:sz w:val="28"/>
        </w:rPr>
        <w:t>СР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- степень реализации Программы;</w:t>
      </w:r>
    </w:p>
    <w:p w14:paraId="B7010000">
      <w:pPr>
        <w:ind w:firstLine="540" w:left="0" w:right="-165"/>
        <w:jc w:val="both"/>
        <w:rPr>
          <w:sz w:val="28"/>
        </w:rPr>
      </w:pPr>
      <w:r>
        <w:rPr>
          <w:sz w:val="28"/>
        </w:rPr>
        <w:t>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- степень достижения планового значения показателя (индикатора), характеризующего цели и задачи Программы;</w:t>
      </w:r>
    </w:p>
    <w:p w14:paraId="B8010000">
      <w:pPr>
        <w:ind w:firstLine="540" w:left="0" w:right="-165"/>
        <w:jc w:val="both"/>
        <w:rPr>
          <w:sz w:val="28"/>
        </w:rPr>
      </w:pPr>
      <w:r>
        <w:rPr>
          <w:sz w:val="28"/>
        </w:rPr>
        <w:t>N - число показателей (индикаторов), характеризующих цели и задачи Программы.</w:t>
      </w:r>
    </w:p>
    <w:p w14:paraId="B9010000">
      <w:pPr>
        <w:ind w:firstLine="540" w:left="0" w:right="-165"/>
        <w:jc w:val="both"/>
        <w:rPr>
          <w:sz w:val="28"/>
        </w:rPr>
      </w:pPr>
      <w:r>
        <w:rPr>
          <w:sz w:val="28"/>
        </w:rPr>
        <w:t>При использовании данной формулы в случаях, если 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больше 1, значение СД</w:t>
      </w:r>
      <w:r>
        <w:rPr>
          <w:sz w:val="28"/>
          <w:vertAlign w:val="subscript"/>
        </w:rPr>
        <w:t>п/ппз</w:t>
      </w:r>
      <w:r>
        <w:rPr>
          <w:sz w:val="28"/>
        </w:rPr>
        <w:t xml:space="preserve"> принимается равным 1.</w:t>
      </w:r>
    </w:p>
    <w:p w14:paraId="BA010000">
      <w:pPr>
        <w:ind w:firstLine="540" w:left="0" w:right="-165"/>
        <w:jc w:val="both"/>
        <w:rPr>
          <w:sz w:val="28"/>
        </w:rPr>
      </w:pPr>
    </w:p>
    <w:p w14:paraId="BB010000">
      <w:pPr>
        <w:ind w:firstLine="540" w:left="0" w:right="-165"/>
        <w:jc w:val="both"/>
        <w:rPr>
          <w:sz w:val="28"/>
        </w:rPr>
      </w:pPr>
      <w:r>
        <w:rPr>
          <w:sz w:val="28"/>
        </w:rPr>
        <w:t>11. Эффективность реализации Программы оценивается в зависимости от значений оценки степени реализации Программы и оценки эффективности использования средств местного бюджета по следующей формуле:</w:t>
      </w:r>
    </w:p>
    <w:p w14:paraId="BC010000">
      <w:pPr>
        <w:ind w:right="-165"/>
        <w:jc w:val="both"/>
        <w:rPr>
          <w:sz w:val="28"/>
        </w:rPr>
      </w:pPr>
    </w:p>
    <w:p w14:paraId="BD010000">
      <w:pPr>
        <w:ind w:right="-165"/>
        <w:jc w:val="center"/>
        <w:rPr>
          <w:sz w:val="28"/>
        </w:rPr>
      </w:pPr>
      <w:r>
        <w:rPr>
          <w:sz w:val="28"/>
        </w:rPr>
        <w:t>ЭР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= СР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x Э</w:t>
      </w:r>
      <w:r>
        <w:rPr>
          <w:sz w:val="28"/>
          <w:vertAlign w:val="subscript"/>
        </w:rPr>
        <w:t>ис</w:t>
      </w:r>
      <w:r>
        <w:rPr>
          <w:sz w:val="28"/>
        </w:rPr>
        <w:t>,</w:t>
      </w:r>
    </w:p>
    <w:p w14:paraId="BE010000">
      <w:pPr>
        <w:ind w:right="-165"/>
        <w:jc w:val="both"/>
        <w:rPr>
          <w:sz w:val="28"/>
        </w:rPr>
      </w:pPr>
    </w:p>
    <w:p w14:paraId="BF010000">
      <w:pPr>
        <w:ind w:firstLine="540" w:left="0" w:right="-165"/>
        <w:jc w:val="both"/>
        <w:rPr>
          <w:sz w:val="28"/>
        </w:rPr>
      </w:pPr>
      <w:r>
        <w:rPr>
          <w:sz w:val="28"/>
        </w:rPr>
        <w:t>где:</w:t>
      </w:r>
    </w:p>
    <w:p w14:paraId="C0010000">
      <w:pPr>
        <w:ind w:firstLine="540" w:left="0" w:right="-165"/>
        <w:jc w:val="both"/>
        <w:rPr>
          <w:sz w:val="28"/>
        </w:rPr>
      </w:pPr>
      <w:r>
        <w:rPr>
          <w:sz w:val="28"/>
        </w:rPr>
        <w:t>ЭР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- эффективность реализации Программы;</w:t>
      </w:r>
    </w:p>
    <w:p w14:paraId="C1010000">
      <w:pPr>
        <w:ind w:firstLine="540" w:left="0" w:right="-165"/>
        <w:jc w:val="both"/>
        <w:rPr>
          <w:sz w:val="28"/>
        </w:rPr>
      </w:pPr>
      <w:r>
        <w:rPr>
          <w:sz w:val="28"/>
        </w:rPr>
        <w:t>СР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- степень реализации Программы;</w:t>
      </w:r>
    </w:p>
    <w:p w14:paraId="C2010000">
      <w:pPr>
        <w:ind w:firstLine="540" w:left="0" w:right="-165"/>
        <w:jc w:val="both"/>
        <w:rPr>
          <w:sz w:val="28"/>
        </w:rPr>
      </w:pPr>
      <w:r>
        <w:rPr>
          <w:sz w:val="28"/>
        </w:rPr>
        <w:t>Э</w:t>
      </w:r>
      <w:r>
        <w:rPr>
          <w:sz w:val="28"/>
          <w:vertAlign w:val="subscript"/>
        </w:rPr>
        <w:t>ис</w:t>
      </w:r>
      <w:r>
        <w:rPr>
          <w:sz w:val="28"/>
        </w:rPr>
        <w:t xml:space="preserve"> - эффективность использования средств местного бюджета (либо по решению ответственного исполнителя - эффективность использования финансовых ресурсов на реализацию Программы).</w:t>
      </w:r>
    </w:p>
    <w:p w14:paraId="C3010000">
      <w:pPr>
        <w:ind w:firstLine="540" w:left="0" w:right="-165"/>
        <w:jc w:val="both"/>
        <w:rPr>
          <w:sz w:val="28"/>
        </w:rPr>
      </w:pPr>
      <w:r>
        <w:rPr>
          <w:sz w:val="28"/>
        </w:rPr>
        <w:t>12. Эффективность реализации Программы признается высокой, в случае если значение ЭР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составляет не менее 0,9.</w:t>
      </w:r>
    </w:p>
    <w:p w14:paraId="C4010000">
      <w:pPr>
        <w:ind w:firstLine="540" w:left="0" w:right="-165"/>
        <w:jc w:val="both"/>
        <w:rPr>
          <w:sz w:val="28"/>
        </w:rPr>
      </w:pPr>
      <w:r>
        <w:rPr>
          <w:sz w:val="28"/>
        </w:rPr>
        <w:t>Эффективность реализации Программы признается средней, в случае если значение ЭР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составляет не менее 0,8.</w:t>
      </w:r>
    </w:p>
    <w:p w14:paraId="C5010000">
      <w:pPr>
        <w:ind w:firstLine="540" w:left="0" w:right="-165"/>
        <w:jc w:val="both"/>
        <w:rPr>
          <w:sz w:val="28"/>
        </w:rPr>
      </w:pPr>
      <w:r>
        <w:rPr>
          <w:sz w:val="28"/>
        </w:rPr>
        <w:t>Эффективность реализации Программы признается удовлетворительной, в случае если значение ЭР</w:t>
      </w:r>
      <w:r>
        <w:rPr>
          <w:sz w:val="28"/>
          <w:vertAlign w:val="subscript"/>
        </w:rPr>
        <w:t>п/п</w:t>
      </w:r>
      <w:r>
        <w:rPr>
          <w:sz w:val="28"/>
        </w:rPr>
        <w:t xml:space="preserve"> составляет не менее 0,7.</w:t>
      </w:r>
    </w:p>
    <w:p w14:paraId="C6010000">
      <w:pPr>
        <w:ind w:firstLine="540" w:left="0" w:right="-165"/>
        <w:jc w:val="both"/>
        <w:rPr>
          <w:sz w:val="28"/>
        </w:rPr>
      </w:pPr>
      <w:r>
        <w:rPr>
          <w:sz w:val="28"/>
        </w:rPr>
        <w:t>В остальных случаях эффективность реализации Программы признается неудовлетворительной.</w:t>
      </w:r>
    </w:p>
    <w:p w14:paraId="C7010000">
      <w:pPr>
        <w:tabs>
          <w:tab w:leader="none" w:pos="8364" w:val="left"/>
        </w:tabs>
        <w:ind w:firstLine="0" w:left="567" w:right="-165"/>
        <w:jc w:val="both"/>
        <w:rPr>
          <w:sz w:val="28"/>
        </w:rPr>
      </w:pPr>
    </w:p>
    <w:p w14:paraId="C8010000">
      <w:pPr>
        <w:tabs>
          <w:tab w:leader="none" w:pos="8364" w:val="left"/>
        </w:tabs>
        <w:ind w:firstLine="0" w:left="567" w:right="-165"/>
        <w:jc w:val="both"/>
        <w:rPr>
          <w:sz w:val="28"/>
        </w:rPr>
      </w:pPr>
    </w:p>
    <w:p w14:paraId="C9010000">
      <w:pPr>
        <w:sectPr>
          <w:headerReference r:id="rId1" w:type="default"/>
          <w:headerReference r:id="rId3" w:type="even"/>
          <w:footerReference r:id="rId2" w:type="default"/>
          <w:footerReference r:id="rId4" w:type="even"/>
          <w:pgSz w:h="16838" w:orient="portrait" w:w="11906"/>
          <w:pgMar w:bottom="567" w:footer="709" w:gutter="0" w:header="709" w:left="1701" w:right="992" w:top="567"/>
          <w:titlePg/>
        </w:sectPr>
      </w:pPr>
    </w:p>
    <w:p w14:paraId="CA010000">
      <w:pPr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ПОДПРОГРАММА 3</w:t>
      </w:r>
    </w:p>
    <w:p w14:paraId="CB01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>«СОЗДАНИЕ И  РАЗВИТИЕ ИНФРАСТРУКТУРЫ НА СЕЛЬСКИХ ТЕРРИТОРИЯХ»</w:t>
      </w:r>
    </w:p>
    <w:p w14:paraId="CC010000">
      <w:pPr>
        <w:ind w:right="-165"/>
        <w:rPr>
          <w:sz w:val="28"/>
        </w:rPr>
      </w:pPr>
    </w:p>
    <w:p w14:paraId="CD010000">
      <w:pPr>
        <w:ind w:right="-165"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ПАСПОРТ</w:t>
      </w:r>
    </w:p>
    <w:p w14:paraId="CE01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подпрограммы 3</w:t>
      </w:r>
    </w:p>
    <w:p w14:paraId="CF01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«Создание и развитие инфраструктуры на сельских территориях»</w:t>
      </w:r>
    </w:p>
    <w:p w14:paraId="D0010000">
      <w:pPr>
        <w:ind w:right="-165"/>
        <w:jc w:val="center"/>
        <w:rPr>
          <w:b w:val="1"/>
          <w:sz w:val="28"/>
        </w:rPr>
      </w:pPr>
    </w:p>
    <w:p w14:paraId="D1010000">
      <w:pPr>
        <w:ind w:right="-165"/>
        <w:jc w:val="center"/>
        <w:rPr>
          <w:b w:val="1"/>
          <w:sz w:val="28"/>
        </w:rPr>
      </w:pPr>
    </w:p>
    <w:tbl>
      <w:tblPr>
        <w:tblStyle w:val="Style_4"/>
        <w:tblW w:type="auto" w:w="0"/>
        <w:tblInd w:type="dxa" w:w="-252"/>
        <w:tblLayout w:type="fixed"/>
      </w:tblPr>
      <w:tblGrid>
        <w:gridCol w:w="3337"/>
        <w:gridCol w:w="7088"/>
      </w:tblGrid>
      <w:tr>
        <w:tc>
          <w:tcPr>
            <w:tcW w:type="dxa" w:w="3337"/>
          </w:tcPr>
          <w:p w14:paraId="D2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программы </w:t>
            </w:r>
          </w:p>
          <w:p w14:paraId="D3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088"/>
          </w:tcPr>
          <w:p w14:paraId="D4010000">
            <w:pPr>
              <w:ind w:hanging="283" w:left="317" w:righ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Администрация Горшеченского района Курской области, </w:t>
            </w:r>
          </w:p>
          <w:p w14:paraId="D5010000">
            <w:pPr>
              <w:ind w:hanging="283" w:left="317" w:right="34"/>
              <w:rPr>
                <w:sz w:val="28"/>
              </w:rPr>
            </w:pPr>
          </w:p>
          <w:p w14:paraId="D6010000">
            <w:pPr>
              <w:ind w:hanging="283" w:left="317" w:right="34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D7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Соисполнители программы</w:t>
            </w:r>
          </w:p>
          <w:p w14:paraId="D8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088"/>
          </w:tcPr>
          <w:p w14:paraId="D901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>- отсутствуют</w:t>
            </w:r>
          </w:p>
          <w:p w14:paraId="DA010000">
            <w:pPr>
              <w:ind w:hanging="283" w:left="317" w:right="34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DB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программы</w:t>
            </w:r>
          </w:p>
          <w:p w14:paraId="DC010000">
            <w:pPr>
              <w:pStyle w:val="Style_7"/>
              <w:widowControl w:val="1"/>
              <w:ind w:right="-165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088"/>
          </w:tcPr>
          <w:p w14:paraId="DD010000">
            <w:pPr>
              <w:ind w:hanging="283" w:left="317" w:right="34"/>
              <w:rPr>
                <w:sz w:val="28"/>
              </w:rPr>
            </w:pPr>
            <w:r>
              <w:rPr>
                <w:sz w:val="28"/>
              </w:rPr>
              <w:t xml:space="preserve"> - </w:t>
            </w:r>
            <w:r>
              <w:rPr>
                <w:sz w:val="28"/>
              </w:rPr>
              <w:t>управления строительства, архитектуры, ЖКХ, земельных и имущественных правоотношений, охраны окружающей среды, транспорта и связи</w:t>
            </w:r>
            <w:r>
              <w:rPr>
                <w:sz w:val="28"/>
              </w:rPr>
              <w:t xml:space="preserve"> Администрации Горшеченского района Курской области</w:t>
            </w:r>
          </w:p>
          <w:p w14:paraId="DE010000">
            <w:pPr>
              <w:ind w:hanging="283" w:left="317"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DF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type="dxa" w:w="7088"/>
          </w:tcPr>
          <w:p w14:paraId="E0010000">
            <w:pPr>
              <w:ind w:right="34"/>
              <w:rPr>
                <w:sz w:val="28"/>
              </w:rPr>
            </w:pPr>
            <w:r>
              <w:rPr>
                <w:sz w:val="28"/>
              </w:rPr>
              <w:t>- Отсутствуют</w:t>
            </w:r>
          </w:p>
        </w:tc>
      </w:tr>
      <w:tr>
        <w:tc>
          <w:tcPr>
            <w:tcW w:type="dxa" w:w="3337"/>
          </w:tcPr>
          <w:p w14:paraId="E1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Цели подпрограммы</w:t>
            </w:r>
          </w:p>
        </w:tc>
        <w:tc>
          <w:tcPr>
            <w:tcW w:type="dxa" w:w="7088"/>
          </w:tcPr>
          <w:p w14:paraId="E2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создание комфортных условий жизнедеятельности в сельской местности</w:t>
            </w:r>
          </w:p>
          <w:p w14:paraId="E3010000">
            <w:pPr>
              <w:ind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E4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Задачи подпрограммы</w:t>
            </w:r>
          </w:p>
        </w:tc>
        <w:tc>
          <w:tcPr>
            <w:tcW w:type="dxa" w:w="7088"/>
          </w:tcPr>
          <w:p w14:paraId="E5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населения питьевой водой; сокращение среднего радиуса доступности сельскому населению фельдшерско-акушерских пунктов;</w:t>
            </w:r>
          </w:p>
          <w:p w14:paraId="E6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 автомобильными дорогами общего пользования с твердым покрытием, ведущими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продукции;</w:t>
            </w:r>
          </w:p>
          <w:p w14:paraId="E7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комплексного обустройства сельских поселений объектами инженерной инфраструктуры</w:t>
            </w:r>
          </w:p>
        </w:tc>
      </w:tr>
      <w:tr>
        <w:tc>
          <w:tcPr>
            <w:tcW w:type="dxa" w:w="3337"/>
          </w:tcPr>
          <w:p w14:paraId="E8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Целевые индикаторы и показатели подпрограммы</w:t>
            </w:r>
          </w:p>
        </w:tc>
        <w:tc>
          <w:tcPr>
            <w:tcW w:type="dxa" w:w="7088"/>
          </w:tcPr>
          <w:p w14:paraId="E9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количество реализованных проектов комплексного развития сельских территорий (сельских агломераций);</w:t>
            </w:r>
          </w:p>
          <w:p w14:paraId="EA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ввода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</w:t>
            </w:r>
          </w:p>
          <w:p w14:paraId="EB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объем ввода в действие объектов инженерного обустройства:</w:t>
            </w:r>
          </w:p>
          <w:p w14:paraId="EC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распределительных газовых сетей –</w:t>
            </w:r>
            <w:r>
              <w:rPr>
                <w:sz w:val="28"/>
              </w:rPr>
              <w:t xml:space="preserve"> 4,1</w:t>
            </w:r>
            <w:r>
              <w:rPr>
                <w:sz w:val="28"/>
              </w:rPr>
              <w:t>км.;</w:t>
            </w:r>
          </w:p>
          <w:p w14:paraId="ED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локальных водопроводов –</w:t>
            </w:r>
            <w:r>
              <w:rPr>
                <w:sz w:val="28"/>
              </w:rPr>
              <w:t xml:space="preserve"> 4,831км.;</w:t>
            </w:r>
            <w:r>
              <w:rPr>
                <w:sz w:val="28"/>
              </w:rPr>
              <w:t xml:space="preserve"> </w:t>
            </w:r>
          </w:p>
          <w:p w14:paraId="EE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количество населенных пунктов, расположенных на сельских территориях, в которых реализованы проекты комплексной застройки - ;</w:t>
            </w:r>
          </w:p>
          <w:p w14:paraId="EF010000">
            <w:pPr>
              <w:ind w:right="34"/>
              <w:jc w:val="both"/>
              <w:rPr>
                <w:sz w:val="28"/>
              </w:rPr>
            </w:pPr>
          </w:p>
        </w:tc>
      </w:tr>
      <w:tr>
        <w:tc>
          <w:tcPr>
            <w:tcW w:type="dxa" w:w="3337"/>
          </w:tcPr>
          <w:p w14:paraId="F0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type="dxa" w:w="7088"/>
          </w:tcPr>
          <w:p w14:paraId="F1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2020 - 202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годы, в 1 этап;</w:t>
            </w:r>
          </w:p>
          <w:p w14:paraId="F2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Основное мероприятие  3.4</w:t>
            </w:r>
          </w:p>
          <w:p w14:paraId="F301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«Развитие инженерной инфраструктуры на сельских территориях – 2020-2021 годы</w:t>
            </w:r>
          </w:p>
        </w:tc>
      </w:tr>
      <w:tr>
        <w:tc>
          <w:tcPr>
            <w:tcW w:type="dxa" w:w="3337"/>
          </w:tcPr>
          <w:p w14:paraId="F401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7088"/>
          </w:tcPr>
          <w:p w14:paraId="F5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sz w:val="28"/>
              </w:rPr>
              <w:t>составляет 66 938 589,70</w:t>
            </w:r>
            <w:r>
              <w:rPr>
                <w:rFonts w:ascii="Times New Roman" w:hAnsi="Times New Roman"/>
                <w:sz w:val="28"/>
              </w:rPr>
              <w:t xml:space="preserve">  рублей,  в том числе по годам:</w:t>
            </w:r>
          </w:p>
          <w:p w14:paraId="F6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2020 год  - 5 964 480,16 руб. </w:t>
            </w:r>
          </w:p>
          <w:p w14:paraId="F7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5 045 768,62 руб.</w:t>
            </w:r>
          </w:p>
          <w:p w14:paraId="F8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344 666,66 руб.</w:t>
            </w:r>
          </w:p>
          <w:p w14:paraId="F9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50 056 586,80 руб.</w:t>
            </w:r>
          </w:p>
          <w:p w14:paraId="FA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-  </w:t>
            </w:r>
            <w:r>
              <w:rPr>
                <w:rFonts w:ascii="Times New Roman" w:hAnsi="Times New Roman"/>
                <w:sz w:val="28"/>
              </w:rPr>
              <w:t>2 042 476,46</w:t>
            </w:r>
            <w:r>
              <w:rPr>
                <w:rFonts w:ascii="Times New Roman" w:hAnsi="Times New Roman"/>
                <w:sz w:val="28"/>
              </w:rPr>
              <w:t xml:space="preserve"> руб.</w:t>
            </w:r>
          </w:p>
          <w:p w14:paraId="FB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C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D01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FE010000">
            <w:pPr>
              <w:pStyle w:val="Style_7"/>
              <w:widowControl w:val="1"/>
              <w:ind/>
              <w:rPr>
                <w:rFonts w:ascii="Times New Roman" w:hAnsi="Times New Roman"/>
                <w:sz w:val="28"/>
              </w:rPr>
            </w:pPr>
          </w:p>
          <w:p w14:paraId="FF010000">
            <w:pPr>
              <w:pStyle w:val="Style_7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из местного бюджета, направленного на реализацию программы, составляет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</w:rPr>
              <w:t>10 104 478,92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в том числе по годам реализации:</w:t>
            </w:r>
          </w:p>
          <w:p w14:paraId="00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год – 338 257,84 руб.</w:t>
            </w:r>
          </w:p>
          <w:p w14:paraId="01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– 190 900,00 руб. </w:t>
            </w:r>
          </w:p>
          <w:p w14:paraId="02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 – 344 666,66 руб.</w:t>
            </w:r>
          </w:p>
          <w:p w14:paraId="03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  <w:sz w:val="28"/>
              </w:rPr>
              <w:t>3 703 574,80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0402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  <w:sz w:val="28"/>
              </w:rPr>
              <w:t>2 042 476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  </w:t>
            </w:r>
          </w:p>
          <w:p w14:paraId="05020000">
            <w:pPr>
              <w:pStyle w:val="Style_8"/>
              <w:ind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0602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07020000">
            <w:pPr>
              <w:pStyle w:val="Style_8"/>
              <w:ind w:hanging="283" w:left="317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 -  </w:t>
            </w:r>
            <w:r>
              <w:rPr>
                <w:rFonts w:ascii="Times New Roman" w:hAnsi="Times New Roman"/>
                <w:sz w:val="28"/>
              </w:rPr>
              <w:t>1 161 537</w:t>
            </w:r>
            <w:r>
              <w:rPr>
                <w:rFonts w:ascii="Times New Roman" w:hAnsi="Times New Roman"/>
                <w:sz w:val="28"/>
              </w:rPr>
              <w:t>,00 руб.</w:t>
            </w:r>
          </w:p>
          <w:p w14:paraId="0802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</w:p>
          <w:p w14:paraId="0902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Объем бюджетных ассигнований из областного и федерального бюджетов составляет </w:t>
            </w:r>
            <w:r>
              <w:rPr>
                <w:color w:val="000000"/>
                <w:sz w:val="28"/>
              </w:rPr>
              <w:t>51 999 302,78</w:t>
            </w:r>
            <w:r>
              <w:rPr>
                <w:color w:val="000000"/>
                <w:sz w:val="28"/>
              </w:rPr>
              <w:t xml:space="preserve"> руб., в том числе:</w:t>
            </w:r>
          </w:p>
          <w:p w14:paraId="0A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год – 5 626 230,16 руб.</w:t>
            </w:r>
          </w:p>
          <w:p w14:paraId="0B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– 4 854 868,62 руб. </w:t>
            </w:r>
          </w:p>
          <w:p w14:paraId="0C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 – 0,00 руб.</w:t>
            </w:r>
          </w:p>
          <w:p w14:paraId="0D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  <w:sz w:val="28"/>
              </w:rPr>
              <w:t>41 518 204,00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руб.</w:t>
            </w:r>
          </w:p>
          <w:p w14:paraId="0E02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год – 0,00 руб.  </w:t>
            </w:r>
          </w:p>
          <w:p w14:paraId="0F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 – 0,00 руб.</w:t>
            </w:r>
          </w:p>
          <w:p w14:paraId="10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2026 год – 0,00 руб.</w:t>
            </w:r>
          </w:p>
          <w:p w14:paraId="11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12020000">
            <w:pPr>
              <w:widowControl w:val="0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Объем внебюджетных средств составляет 4 834 808,00 руб., в том числе:</w:t>
            </w:r>
          </w:p>
          <w:p w14:paraId="13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год – 0,00 руб.</w:t>
            </w:r>
          </w:p>
          <w:p w14:paraId="14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– 0,00 руб. </w:t>
            </w:r>
          </w:p>
          <w:p w14:paraId="15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 – 0,00 руб.</w:t>
            </w:r>
          </w:p>
          <w:p w14:paraId="16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 год – 4 834 808,00 руб.</w:t>
            </w:r>
          </w:p>
          <w:p w14:paraId="17020000">
            <w:pPr>
              <w:pStyle w:val="Style_7"/>
              <w:widowControl w:val="1"/>
              <w:ind/>
              <w:rPr>
                <w:rFonts w:ascii="Times New Roman" w:hAnsi="Times New Roman"/>
                <w:strike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год – 0,00 руб.  </w:t>
            </w:r>
          </w:p>
          <w:p w14:paraId="18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 – 0,00 руб.</w:t>
            </w:r>
          </w:p>
          <w:p w14:paraId="19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2026 год – 0,00 руб.</w:t>
            </w:r>
          </w:p>
          <w:p w14:paraId="1A020000">
            <w:pPr>
              <w:pStyle w:val="Style_7"/>
              <w:widowControl w:val="1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337"/>
          </w:tcPr>
          <w:p w14:paraId="1B020000">
            <w:pPr>
              <w:ind w:right="-165"/>
              <w:rPr>
                <w:sz w:val="28"/>
              </w:rPr>
            </w:pPr>
            <w:r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type="dxa" w:w="7088"/>
          </w:tcPr>
          <w:p w14:paraId="1C02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реализовать проектов комплексного развития сельских терр</w:t>
            </w:r>
            <w:r>
              <w:rPr>
                <w:sz w:val="28"/>
              </w:rPr>
              <w:t>иторий в Горшеченском районе – 1;</w:t>
            </w:r>
          </w:p>
          <w:p w14:paraId="1D02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ввести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– __ км.;</w:t>
            </w:r>
          </w:p>
          <w:p w14:paraId="1E02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ввести в действие объекты инженерного обустройства:</w:t>
            </w:r>
          </w:p>
          <w:p w14:paraId="1F02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распределительных газовых сетей – </w:t>
            </w:r>
            <w:r>
              <w:rPr>
                <w:sz w:val="28"/>
              </w:rPr>
              <w:t>4,1</w:t>
            </w:r>
            <w:r>
              <w:rPr>
                <w:sz w:val="28"/>
              </w:rPr>
              <w:t xml:space="preserve"> км.;</w:t>
            </w:r>
          </w:p>
          <w:p w14:paraId="20020000">
            <w:pPr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локальных водопроводов – </w:t>
            </w:r>
            <w:r>
              <w:rPr>
                <w:sz w:val="28"/>
              </w:rPr>
              <w:t>4,831</w:t>
            </w:r>
            <w:r>
              <w:rPr>
                <w:sz w:val="28"/>
              </w:rPr>
              <w:t xml:space="preserve"> км.;</w:t>
            </w:r>
          </w:p>
          <w:p w14:paraId="21020000">
            <w:pPr>
              <w:ind w:right="34"/>
              <w:jc w:val="both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количество населенных пунктов, расположенных на сельских территориях, в которых реализованы </w:t>
            </w:r>
            <w:r>
              <w:rPr>
                <w:sz w:val="28"/>
              </w:rPr>
              <w:t xml:space="preserve">проекты комплексной застройки - </w:t>
            </w:r>
            <w:r>
              <w:rPr>
                <w:color w:val="000000"/>
                <w:sz w:val="28"/>
              </w:rPr>
              <w:t>1;</w:t>
            </w:r>
          </w:p>
          <w:p w14:paraId="22020000">
            <w:pPr>
              <w:ind w:right="34"/>
              <w:jc w:val="both"/>
              <w:rPr>
                <w:sz w:val="28"/>
              </w:rPr>
            </w:pPr>
          </w:p>
        </w:tc>
      </w:tr>
    </w:tbl>
    <w:p w14:paraId="23020000">
      <w:pPr>
        <w:ind w:right="-165"/>
        <w:jc w:val="center"/>
        <w:rPr>
          <w:b w:val="1"/>
          <w:sz w:val="28"/>
        </w:rPr>
      </w:pPr>
    </w:p>
    <w:p w14:paraId="24020000">
      <w:pPr>
        <w:ind w:firstLine="0" w:left="851" w:right="-165"/>
        <w:jc w:val="both"/>
        <w:rPr>
          <w:b w:val="1"/>
          <w:sz w:val="28"/>
        </w:rPr>
      </w:pPr>
      <w:r>
        <w:rPr>
          <w:b w:val="1"/>
          <w:sz w:val="28"/>
        </w:rPr>
        <w:t>Раздел 1. Х</w:t>
      </w:r>
      <w:r>
        <w:rPr>
          <w:b w:val="1"/>
          <w:sz w:val="28"/>
        </w:rPr>
        <w:t>арактеристика  текущего состояния сферы реализации подпрограммы.</w:t>
      </w:r>
    </w:p>
    <w:p w14:paraId="25020000">
      <w:pPr>
        <w:ind w:right="-165"/>
        <w:rPr>
          <w:sz w:val="28"/>
        </w:rPr>
      </w:pPr>
    </w:p>
    <w:p w14:paraId="26020000">
      <w:pPr>
        <w:ind w:firstLine="540" w:left="0" w:right="-165"/>
        <w:jc w:val="both"/>
        <w:rPr>
          <w:sz w:val="28"/>
        </w:rPr>
      </w:pPr>
      <w:r>
        <w:rPr>
          <w:sz w:val="28"/>
        </w:rPr>
        <w:t>Важными факторами качества жизни на селе, является: обеспеченность и благоустройство жилищного фонда, наличие инженерных коммуникаций, транспортная доступность, развитие объектов социальной сферы, повышение уровня благоустройства сельских населенных пунктов.</w:t>
      </w:r>
    </w:p>
    <w:p w14:paraId="2702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  <w:r>
        <w:rPr>
          <w:sz w:val="28"/>
        </w:rPr>
        <w:t>Мероприятия в рамках программы «Комплексное развитие сельских территорий» должны обеспечивать достижение целевых показателей, установленных Муниципальной  программой.</w:t>
      </w:r>
    </w:p>
    <w:p w14:paraId="28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Подпрограмма «Создание и развитие инфраструктуры на сельских территориях» разработана в соответствии с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"consultantplus://offline/ref=A0A6346FB8257755C892D8539FDB87326A607BF90A66E66FCCFA9B8BE268BC91CAC1BCF2B2A5AA9FA8FA9A10E0e2U5G"</w:instrText>
      </w:r>
      <w:r>
        <w:rPr>
          <w:rStyle w:val="Style_10_ch"/>
        </w:rPr>
        <w:fldChar w:fldCharType="separate"/>
      </w:r>
      <w:r>
        <w:rPr>
          <w:rStyle w:val="Style_10_ch"/>
        </w:rPr>
        <w:t>Постановлением</w:t>
      </w:r>
      <w:r>
        <w:rPr>
          <w:rStyle w:val="Style_10_ch"/>
        </w:rPr>
        <w:fldChar w:fldCharType="end"/>
      </w:r>
      <w:r>
        <w:rPr>
          <w:sz w:val="28"/>
        </w:rPr>
        <w:t xml:space="preserve"> Правительства Российской Федерации от 31 мая 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Федерации».</w:t>
      </w:r>
    </w:p>
    <w:p w14:paraId="29020000">
      <w:pPr>
        <w:ind w:firstLine="540" w:left="0" w:right="-165"/>
        <w:jc w:val="both"/>
        <w:rPr>
          <w:sz w:val="28"/>
        </w:rPr>
      </w:pPr>
      <w:r>
        <w:rPr>
          <w:sz w:val="28"/>
        </w:rPr>
        <w:t>Одним из важных факторов качества жизни, которые формируют предпочтения для проживания в той или иной местности, является обеспеченность и благоустройство жилищного фонда, наличие инженерных коммуникаций, транспортная доступность, а также развитие объектов социальной сферы и результативность их деятельности.</w:t>
      </w:r>
    </w:p>
    <w:p w14:paraId="2A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Показателем результативности использования программно-целевого подхода являются позитивные изменения в комплексном развитии сельских территорий в ходе реализации федеральной Государственной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"consultantplus://offline/ref=B55652D92F3CDDA80CFBB92A5EE557D0076FAACCEBCA8FED502BB68B7271176CC0A20E8F267431078AB52E7E4C19207B450A15bDp9G"</w:instrText>
      </w:r>
      <w:r>
        <w:rPr>
          <w:rStyle w:val="Style_10_ch"/>
        </w:rPr>
        <w:fldChar w:fldCharType="separate"/>
      </w:r>
      <w:r>
        <w:rPr>
          <w:rStyle w:val="Style_10_ch"/>
        </w:rPr>
        <w:t>программы</w:t>
      </w:r>
      <w:r>
        <w:rPr>
          <w:rStyle w:val="Style_10_ch"/>
        </w:rPr>
        <w:fldChar w:fldCharType="end"/>
      </w:r>
      <w:r>
        <w:rPr>
          <w:sz w:val="28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717, Подпрограммы «Устойчивое развитие сельских территорий Курской области на 2014 - 2017 годы и на период до 2021 года» областной государственной 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"consultantplus://offline/ref=B55652D92F3CDDA80CFBA72748890DDC0160FDC5E4CB86B30C74EDD625781D3B87ED57CA692D6143DFBE2F72594D7621120715D4EF01FA0D9FFE02b6p6G"</w:instrText>
      </w:r>
      <w:r>
        <w:rPr>
          <w:rStyle w:val="Style_10_ch"/>
        </w:rPr>
        <w:fldChar w:fldCharType="separate"/>
      </w:r>
      <w:r>
        <w:rPr>
          <w:rStyle w:val="Style_10_ch"/>
        </w:rPr>
        <w:t>программы</w:t>
      </w:r>
      <w:r>
        <w:rPr>
          <w:rStyle w:val="Style_10_ch"/>
        </w:rPr>
        <w:fldChar w:fldCharType="end"/>
      </w:r>
      <w:r>
        <w:rPr>
          <w:sz w:val="28"/>
        </w:rPr>
        <w:t xml:space="preserve"> развития сельского хозяйства и регулирование рынков сельскохозяйственной продукции, сырья и продовольствия в Курской области, утвержденной постановлением Администрации Курской области от 18.10.2013 № 744-па, которые создали определенные предпосылки для укрепления производственного и инфраструктурного потенциала сельских территорий.</w:t>
      </w:r>
    </w:p>
    <w:p w14:paraId="2B020000">
      <w:pPr>
        <w:ind w:firstLine="540" w:left="0" w:right="-165"/>
        <w:jc w:val="both"/>
        <w:rPr>
          <w:sz w:val="28"/>
        </w:rPr>
      </w:pPr>
      <w:r>
        <w:rPr>
          <w:sz w:val="28"/>
        </w:rPr>
        <w:t>Вместе с тем, несмотря на положительный эффект от реализации мероприятий под</w:t>
      </w:r>
      <w:r>
        <w:rPr>
          <w:rStyle w:val="Style_10_ch"/>
        </w:rPr>
        <w:fldChar w:fldCharType="begin"/>
      </w:r>
      <w:r>
        <w:rPr>
          <w:rStyle w:val="Style_10_ch"/>
        </w:rPr>
        <w:instrText>HYPERLINK "consultantplus://offline/ref=06B04BC36EB625BBABFD6FD2AA7492F1AD10470354A5ADD3998E8E8B33B94F25A5236783CC543B027D5D0AA4392A722F60FD0EABA859A0F8471319J1vBG"</w:instrText>
      </w:r>
      <w:r>
        <w:rPr>
          <w:rStyle w:val="Style_10_ch"/>
        </w:rPr>
        <w:fldChar w:fldCharType="separate"/>
      </w:r>
      <w:r>
        <w:rPr>
          <w:rStyle w:val="Style_10_ch"/>
        </w:rPr>
        <w:t>программы</w:t>
      </w:r>
      <w:r>
        <w:rPr>
          <w:rStyle w:val="Style_10_ch"/>
        </w:rPr>
        <w:fldChar w:fldCharType="end"/>
      </w:r>
      <w:r>
        <w:rPr>
          <w:sz w:val="28"/>
        </w:rPr>
        <w:t xml:space="preserve"> «Устойчивое развитие сельских территорий Курской области на 2014 - 2017 годы и на период до 2021 года»,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14:paraId="2C020000">
      <w:pPr>
        <w:ind w:firstLine="860" w:left="0" w:right="-165"/>
        <w:jc w:val="both"/>
        <w:rPr>
          <w:sz w:val="28"/>
        </w:rPr>
      </w:pPr>
      <w:r>
        <w:rPr>
          <w:sz w:val="28"/>
        </w:rPr>
        <w:t>Набор мероприятий в рамках Подпрограммы «Создание и развитие инфраструктуры на сельских территориях» должен обеспечивать возможность получения доступа к создаваемым объектам инфраструктуры.</w:t>
      </w:r>
    </w:p>
    <w:p w14:paraId="2D020000">
      <w:pPr>
        <w:ind w:firstLine="860" w:left="0" w:right="-165"/>
        <w:jc w:val="both"/>
        <w:rPr>
          <w:sz w:val="28"/>
        </w:rPr>
      </w:pPr>
      <w:r>
        <w:rPr>
          <w:sz w:val="28"/>
        </w:rPr>
        <w:t xml:space="preserve">В части обеспечения доступности объектов социальной инфраструктуры (объекты здравоохранения, образования, культуры, спорта) предусматривается проведение мероприятий по строительству, реконструкции, капитальному ремонту, а также созданию и обновлению материально-технической базы соответствующих объектов. С учетом особенностей сельских территорий, а также в целях обеспечения эффективного расходования бюджетных средств целесообразно реализовывать социокультурные комплексы, интегрирующие на своей платформе учреждения различной направленности. </w:t>
      </w:r>
    </w:p>
    <w:p w14:paraId="2E020000">
      <w:pPr>
        <w:ind w:firstLine="860" w:left="0" w:right="-165"/>
        <w:jc w:val="both"/>
        <w:rPr>
          <w:sz w:val="28"/>
        </w:rPr>
      </w:pPr>
      <w:r>
        <w:rPr>
          <w:sz w:val="28"/>
        </w:rPr>
        <w:t>В целях обеспечения доступности объектов здравоохранения и образования для сельского населения, расположенного на отдаленных территориях, предусматривается реализация мероприятий по приобретению специализированного транспорта, в том числе автобусов, санитарного транспорта, мобильных медицинских комплексов, оборудования для реализации проектов в области телемедицины, оборудования для предоставления дистанционных услуг.</w:t>
      </w:r>
    </w:p>
    <w:p w14:paraId="2F020000">
      <w:pPr>
        <w:ind w:firstLine="860" w:left="0" w:right="-165"/>
        <w:jc w:val="both"/>
        <w:rPr>
          <w:sz w:val="28"/>
        </w:rPr>
      </w:pPr>
      <w:r>
        <w:rPr>
          <w:sz w:val="28"/>
        </w:rPr>
        <w:t>В рамках проектов по развитию водоснабжения предусматривается включение в проект мероприятий по строительству, реконструкции систем водоотведения и канализации, очистных сооружений, установке станций обезжелезивания воды, строительству и реконструкции локальных водопроводов, строительству водозаборных сооружений и др.</w:t>
      </w:r>
    </w:p>
    <w:p w14:paraId="30020000">
      <w:pPr>
        <w:ind w:firstLine="860" w:left="0" w:right="-165"/>
        <w:jc w:val="both"/>
        <w:rPr>
          <w:sz w:val="28"/>
        </w:rPr>
      </w:pPr>
      <w:r>
        <w:rPr>
          <w:sz w:val="28"/>
        </w:rPr>
        <w:t xml:space="preserve">В целях развития энергообеспечения предусматривается в том числе строительство, приобретение и монтаж газо-поршневых установок, газгольдеров, локальных газопроводов,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 там, где отсутствует возможность подключения к магистральным линиям. </w:t>
      </w:r>
    </w:p>
    <w:p w14:paraId="31020000">
      <w:pPr>
        <w:ind w:firstLine="860" w:left="0" w:right="-165"/>
        <w:jc w:val="both"/>
        <w:rPr>
          <w:sz w:val="28"/>
        </w:rPr>
      </w:pPr>
      <w:r>
        <w:rPr>
          <w:sz w:val="28"/>
        </w:rPr>
        <w:t xml:space="preserve">Проекты развития сельских территорий должны обеспечивать достижение целевых показателей, установленных Муниципальной программой, </w:t>
      </w:r>
    </w:p>
    <w:p w14:paraId="3202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</w:p>
    <w:p w14:paraId="3302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</w:p>
    <w:p w14:paraId="3402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</w:p>
    <w:p w14:paraId="35020000">
      <w:pPr>
        <w:ind w:right="-165"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Раздел 2. </w:t>
      </w:r>
      <w:r>
        <w:rPr>
          <w:b w:val="1"/>
          <w:sz w:val="28"/>
        </w:rPr>
        <w:t>мероприятия Подпрограммы</w:t>
      </w:r>
    </w:p>
    <w:p w14:paraId="36020000">
      <w:pPr>
        <w:ind w:right="-165"/>
        <w:jc w:val="center"/>
        <w:rPr>
          <w:b w:val="1"/>
          <w:sz w:val="28"/>
        </w:rPr>
      </w:pPr>
    </w:p>
    <w:p w14:paraId="37020000">
      <w:pPr>
        <w:ind w:right="-165"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 xml:space="preserve">Основное </w:t>
      </w:r>
      <w:r>
        <w:rPr>
          <w:b w:val="1"/>
          <w:sz w:val="28"/>
        </w:rPr>
        <w:t>мероприятие 3.1</w:t>
      </w:r>
    </w:p>
    <w:p w14:paraId="38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«Современный облик сельских территорий»</w:t>
      </w:r>
    </w:p>
    <w:p w14:paraId="39020000">
      <w:pPr>
        <w:ind w:firstLine="709" w:left="0" w:right="-165"/>
        <w:jc w:val="both"/>
        <w:rPr>
          <w:sz w:val="28"/>
        </w:rPr>
      </w:pPr>
    </w:p>
    <w:p w14:paraId="3A020000">
      <w:pPr>
        <w:ind w:firstLine="540" w:left="0" w:right="-165"/>
        <w:jc w:val="both"/>
        <w:rPr>
          <w:sz w:val="28"/>
        </w:rPr>
      </w:pPr>
      <w:r>
        <w:rPr>
          <w:sz w:val="28"/>
        </w:rPr>
        <w:t>Целями мероприятия по современному облику сельских территорий является количество реализованных проектов комплексного развития сельских территорий (сельских агломераций).</w:t>
      </w:r>
    </w:p>
    <w:p w14:paraId="3B020000">
      <w:pPr>
        <w:ind w:firstLine="540" w:left="0" w:right="-165"/>
        <w:jc w:val="both"/>
        <w:rPr>
          <w:sz w:val="28"/>
        </w:rPr>
      </w:pPr>
      <w:r>
        <w:rPr>
          <w:sz w:val="28"/>
        </w:rPr>
        <w:t>В рамках данного мероприятия предусматривается предоставление субсидий:</w:t>
      </w:r>
    </w:p>
    <w:p w14:paraId="3C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на строительство, реконструкцию, модернизацию и капитальный ремонт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сооружения), строительство социокультурных и многофункциональных центров; </w:t>
      </w:r>
    </w:p>
    <w:p w14:paraId="3D020000">
      <w:pPr>
        <w:ind w:firstLine="540" w:left="0" w:right="-165"/>
        <w:jc w:val="both"/>
        <w:rPr>
          <w:sz w:val="28"/>
        </w:rPr>
      </w:pPr>
      <w:r>
        <w:rPr>
          <w:sz w:val="28"/>
        </w:rPr>
        <w:t>на приобретение новой автомобильной техники и оборудования для обеспечения функционирования существующих объектов социальной и культурной сферы, в том числе автобусов, санитарного транспорта, мобильных медицинских комплексов, оборудования для реализации проектов в области телемедицины, оборудования для предоставления дистанционных услуг при условии, что на приобретаемую автомобильную технику и оборудование Министерством промышленности и торговли Российской Федерации выдано заключение о подтверждении производства промышленной продукции на территории Российской Федерации или заключение об отнесении продукции к промышленной продукции, не имеющей произведенных в Российской Федерации аналогов;</w:t>
      </w:r>
    </w:p>
    <w:p w14:paraId="3E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на развитие водоснабжения (строительство 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 развитие жилищно-коммунальных объектов (строительство блочномодульных котельных и перевод многоквартирных жилых домой на индивидуальное отопление); </w:t>
      </w:r>
    </w:p>
    <w:p w14:paraId="3F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на развитие энергообеспечения (строительство, приобретение и монтаж газо-поршневых установок, газгольдеров, распределительных газовых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энергосбережения; </w:t>
      </w:r>
    </w:p>
    <w:p w14:paraId="40020000">
      <w:pPr>
        <w:ind w:firstLine="540" w:left="0" w:right="-165"/>
        <w:jc w:val="both"/>
        <w:rPr>
          <w:sz w:val="28"/>
        </w:rPr>
      </w:pPr>
      <w:r>
        <w:rPr>
          <w:sz w:val="28"/>
        </w:rPr>
        <w:t>на развитие телекоммуникаций (приобретения и монтаж оборудования, строительство линий передачи данных, обеспечивающих возможность подключения к сети «Интернет»).</w:t>
      </w:r>
    </w:p>
    <w:p w14:paraId="41020000">
      <w:pPr>
        <w:ind w:firstLine="540" w:left="0" w:right="-165"/>
        <w:jc w:val="both"/>
        <w:rPr>
          <w:sz w:val="28"/>
        </w:rPr>
      </w:pPr>
      <w:r>
        <w:rPr>
          <w:sz w:val="28"/>
        </w:rPr>
        <w:t>Исполнителем основного мероприятия является комитет агропромышленного комплекса Курской области.</w:t>
      </w:r>
    </w:p>
    <w:p w14:paraId="42020000">
      <w:pPr>
        <w:ind w:firstLine="540" w:left="0" w:right="-165"/>
        <w:jc w:val="both"/>
        <w:rPr>
          <w:sz w:val="28"/>
        </w:rPr>
      </w:pPr>
      <w:r>
        <w:rPr>
          <w:sz w:val="28"/>
        </w:rPr>
        <w:t>Срок реализации основного мероприятия: 2020 - 202</w:t>
      </w:r>
      <w:r>
        <w:rPr>
          <w:sz w:val="28"/>
        </w:rPr>
        <w:t>7</w:t>
      </w:r>
      <w:r>
        <w:rPr>
          <w:sz w:val="28"/>
        </w:rPr>
        <w:t xml:space="preserve"> годы, этапы реализации не выделяются.</w:t>
      </w:r>
    </w:p>
    <w:p w14:paraId="43020000">
      <w:pPr>
        <w:ind w:firstLine="540" w:left="0" w:right="-165"/>
        <w:jc w:val="both"/>
        <w:rPr>
          <w:sz w:val="28"/>
        </w:rPr>
      </w:pPr>
      <w:r>
        <w:rPr>
          <w:sz w:val="28"/>
        </w:rPr>
        <w:t>Реализация основного мероприятия обеспечивает достижение показателя 6, указанного в приложении № 1 к муниципальной программе.</w:t>
      </w:r>
    </w:p>
    <w:p w14:paraId="44020000">
      <w:pPr>
        <w:ind w:firstLine="540" w:left="0" w:right="-165"/>
        <w:jc w:val="both"/>
        <w:rPr>
          <w:sz w:val="28"/>
        </w:rPr>
      </w:pPr>
      <w:r>
        <w:rPr>
          <w:sz w:val="28"/>
        </w:rPr>
        <w:t>Нереализация основного мероприятия повлечет:</w:t>
      </w:r>
    </w:p>
    <w:p w14:paraId="45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 к ухудшению материально-технической базы физической культуры;</w:t>
      </w:r>
    </w:p>
    <w:p w14:paraId="46020000">
      <w:pPr>
        <w:ind w:firstLine="540" w:left="0" w:right="-165"/>
        <w:jc w:val="both"/>
        <w:rPr>
          <w:sz w:val="28"/>
        </w:rPr>
      </w:pPr>
      <w:r>
        <w:rPr>
          <w:sz w:val="28"/>
        </w:rPr>
        <w:t>к снижению качества и доступности первичной медико-санитарной помощи для населения Курской области;</w:t>
      </w:r>
    </w:p>
    <w:p w14:paraId="47020000">
      <w:pPr>
        <w:ind w:firstLine="540" w:left="0" w:right="-165"/>
        <w:jc w:val="both"/>
        <w:rPr>
          <w:sz w:val="28"/>
        </w:rPr>
      </w:pPr>
      <w:r>
        <w:rPr>
          <w:sz w:val="28"/>
        </w:rPr>
        <w:t>к снижению качества образования;</w:t>
      </w:r>
    </w:p>
    <w:p w14:paraId="48020000">
      <w:pPr>
        <w:ind w:firstLine="540" w:left="0" w:right="-165"/>
        <w:jc w:val="both"/>
        <w:rPr>
          <w:sz w:val="28"/>
        </w:rPr>
      </w:pPr>
      <w:r>
        <w:rPr>
          <w:sz w:val="28"/>
        </w:rPr>
        <w:t>к снижению качества жизни сельского населения.</w:t>
      </w:r>
    </w:p>
    <w:p w14:paraId="49020000">
      <w:pPr>
        <w:ind w:firstLine="540" w:left="0" w:right="-165"/>
        <w:jc w:val="both"/>
        <w:rPr>
          <w:sz w:val="28"/>
        </w:rPr>
      </w:pPr>
    </w:p>
    <w:p w14:paraId="4A020000">
      <w:pPr>
        <w:ind w:right="-165"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 xml:space="preserve">Основное </w:t>
      </w:r>
      <w:r>
        <w:rPr>
          <w:b w:val="1"/>
          <w:sz w:val="28"/>
        </w:rPr>
        <w:t>мероприятие 3.2</w:t>
      </w:r>
    </w:p>
    <w:p w14:paraId="4B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«Развитие транспортной инфраструктуры»</w:t>
      </w:r>
    </w:p>
    <w:p w14:paraId="4C020000">
      <w:pPr>
        <w:ind w:firstLine="540" w:left="0" w:right="-165"/>
        <w:jc w:val="both"/>
        <w:rPr>
          <w:sz w:val="28"/>
        </w:rPr>
      </w:pPr>
    </w:p>
    <w:p w14:paraId="4D020000">
      <w:pPr>
        <w:ind w:firstLine="540" w:left="0" w:right="-165"/>
        <w:jc w:val="both"/>
        <w:rPr>
          <w:sz w:val="28"/>
        </w:rPr>
      </w:pPr>
      <w:r>
        <w:rPr>
          <w:sz w:val="28"/>
        </w:rPr>
        <w:t>Мероприятие «Развитие транспортной инфраструктуры» предусматривает предоставление субсидий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продукции.</w:t>
      </w:r>
    </w:p>
    <w:p w14:paraId="4E020000">
      <w:pPr>
        <w:ind w:firstLine="540" w:left="0" w:right="-165"/>
        <w:jc w:val="both"/>
        <w:rPr>
          <w:sz w:val="28"/>
        </w:rPr>
      </w:pPr>
      <w:r>
        <w:rPr>
          <w:sz w:val="28"/>
        </w:rPr>
        <w:t xml:space="preserve"> Основным механизмом использования средств из областного бюджета, предусмотренных на реализацию мероприятия, будет предоставление межбюджетных трансфертов в форме субсидий и иных межбюджетных трансфертов местным бюджетам в порядке и на условиях.</w:t>
      </w:r>
    </w:p>
    <w:p w14:paraId="4F020000">
      <w:pPr>
        <w:ind w:firstLine="540" w:left="0" w:right="-165"/>
        <w:jc w:val="both"/>
        <w:rPr>
          <w:sz w:val="28"/>
        </w:rPr>
      </w:pPr>
      <w:r>
        <w:rPr>
          <w:sz w:val="28"/>
        </w:rPr>
        <w:t>Исполнителем основного мероприятия является комитет транспорта и автомобильных дорог Курской области.</w:t>
      </w:r>
    </w:p>
    <w:p w14:paraId="50020000">
      <w:pPr>
        <w:ind w:firstLine="540" w:left="0" w:right="-165"/>
        <w:jc w:val="both"/>
        <w:rPr>
          <w:sz w:val="28"/>
        </w:rPr>
      </w:pPr>
      <w:r>
        <w:rPr>
          <w:sz w:val="28"/>
        </w:rPr>
        <w:t>Срок реализации основного мероприятия: 2020 - 202</w:t>
      </w:r>
      <w:r>
        <w:rPr>
          <w:sz w:val="28"/>
        </w:rPr>
        <w:t>7</w:t>
      </w:r>
      <w:r>
        <w:rPr>
          <w:sz w:val="28"/>
        </w:rPr>
        <w:t xml:space="preserve"> годы, этапы реализации не выделяются.</w:t>
      </w:r>
    </w:p>
    <w:p w14:paraId="51020000">
      <w:pPr>
        <w:ind w:firstLine="540" w:left="0" w:right="-165"/>
        <w:jc w:val="both"/>
        <w:rPr>
          <w:sz w:val="28"/>
        </w:rPr>
      </w:pPr>
      <w:r>
        <w:rPr>
          <w:sz w:val="28"/>
        </w:rPr>
        <w:t>Реализация основного мероприятия обеспечивает достижение показателя 7, указанного в приложении № 1 к муниципальной программе.</w:t>
      </w:r>
    </w:p>
    <w:p w14:paraId="52020000">
      <w:pPr>
        <w:ind w:firstLine="540" w:left="0" w:right="-165"/>
        <w:jc w:val="both"/>
        <w:rPr>
          <w:sz w:val="28"/>
        </w:rPr>
      </w:pPr>
      <w:r>
        <w:rPr>
          <w:sz w:val="28"/>
        </w:rPr>
        <w:t>Нереализация основного мероприятия приведет к значительным потерям сельского населения, что повлечет снижение темпов роста социально-экономического развития региона.</w:t>
      </w:r>
    </w:p>
    <w:p w14:paraId="53020000">
      <w:pPr>
        <w:ind w:right="-165"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 xml:space="preserve">Основное </w:t>
      </w:r>
      <w:r>
        <w:rPr>
          <w:b w:val="1"/>
          <w:sz w:val="28"/>
        </w:rPr>
        <w:t>мероприятие 3.4</w:t>
      </w:r>
    </w:p>
    <w:p w14:paraId="54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«Развитие инженерной инфраструктуры на сельских территориях»</w:t>
      </w:r>
    </w:p>
    <w:p w14:paraId="55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(реализуется в 2020-2021 годах)</w:t>
      </w:r>
    </w:p>
    <w:p w14:paraId="56020000">
      <w:pPr>
        <w:ind w:right="-165"/>
        <w:jc w:val="center"/>
        <w:rPr>
          <w:b w:val="1"/>
          <w:sz w:val="28"/>
        </w:rPr>
      </w:pPr>
    </w:p>
    <w:p w14:paraId="57020000">
      <w:pPr>
        <w:ind w:firstLine="540" w:left="0" w:right="-165"/>
        <w:jc w:val="both"/>
        <w:rPr>
          <w:sz w:val="28"/>
        </w:rPr>
      </w:pPr>
      <w:r>
        <w:rPr>
          <w:sz w:val="28"/>
        </w:rPr>
        <w:t>В рамках мероприятия «Развитие инженерной и транспортной инфраструктуры на сельских территориях» предусматривается завершение в 2021 году мероприятий по развитию газификации и водоснабжения в сельской местности, реализация которых была начата в рамках подпрограммы «Устойчивое развитие сельских территорий Курской области на 2014 - 2017 года и на период до 2021 года» Государственной программы развития сельского хозяйства и регулирование рынков сельскохозяйственной продукции, сырья и продовольствия в Курской области, утвержденной постановлением Администрации Курской области от  18.10.2013 № 744-па.</w:t>
      </w:r>
    </w:p>
    <w:p w14:paraId="58020000">
      <w:pPr>
        <w:ind w:firstLine="540" w:left="0" w:right="-165"/>
        <w:jc w:val="both"/>
        <w:rPr>
          <w:sz w:val="28"/>
        </w:rPr>
      </w:pPr>
      <w:r>
        <w:rPr>
          <w:sz w:val="28"/>
        </w:rPr>
        <w:t>Основное мероприятие «Развитие инженерной инфраструктуры на сельских территориях» предусматривает получение субсидий по следующим направлениям:</w:t>
      </w:r>
    </w:p>
    <w:p w14:paraId="59020000">
      <w:pPr>
        <w:ind w:firstLine="540" w:left="0" w:right="-165"/>
        <w:jc w:val="both"/>
        <w:rPr>
          <w:sz w:val="28"/>
        </w:rPr>
      </w:pPr>
      <w:r>
        <w:rPr>
          <w:sz w:val="28"/>
        </w:rPr>
        <w:t>а) развитие газификации (распределительные газовые сети) и водоснабжения (локальные водопроводы) на сельских территориях;</w:t>
      </w:r>
    </w:p>
    <w:p w14:paraId="5A020000">
      <w:pPr>
        <w:ind w:firstLine="540" w:left="0" w:right="-165"/>
        <w:jc w:val="both"/>
        <w:rPr>
          <w:sz w:val="28"/>
        </w:rPr>
      </w:pPr>
      <w:r>
        <w:rPr>
          <w:sz w:val="28"/>
        </w:rPr>
        <w:t>б) реализация проектов комплексного обустройства площадок под компактную жилищную застройку на сельских территориях, предусматривающих:</w:t>
      </w:r>
    </w:p>
    <w:p w14:paraId="5B020000">
      <w:pPr>
        <w:ind w:firstLine="540" w:left="0" w:right="-165"/>
        <w:jc w:val="both"/>
        <w:rPr>
          <w:sz w:val="28"/>
        </w:rPr>
      </w:pPr>
      <w:r>
        <w:rPr>
          <w:sz w:val="28"/>
        </w:rPr>
        <w:t>инженерную подготовку площадки под компактную жилищную застройку;</w:t>
      </w:r>
    </w:p>
    <w:p w14:paraId="5C020000">
      <w:pPr>
        <w:ind w:firstLine="540" w:left="0" w:right="-165"/>
        <w:jc w:val="both"/>
        <w:rPr>
          <w:sz w:val="28"/>
        </w:rPr>
      </w:pPr>
      <w:r>
        <w:rPr>
          <w:sz w:val="28"/>
        </w:rPr>
        <w:t>строительство и реконструкцию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 и площадки).</w:t>
      </w:r>
    </w:p>
    <w:p w14:paraId="5D020000">
      <w:pPr>
        <w:ind w:firstLine="540" w:left="0" w:right="-165"/>
        <w:jc w:val="both"/>
        <w:rPr>
          <w:sz w:val="28"/>
        </w:rPr>
      </w:pPr>
      <w:r>
        <w:rPr>
          <w:sz w:val="28"/>
        </w:rPr>
        <w:t>Основным механизмом использования средств из областного бюджета, предусмотренных на реализацию мероприятия, будет получениемежбюджетных трансфертов в форме субсидий и иных межбюджетных трансфертов местному бюджету.</w:t>
      </w:r>
    </w:p>
    <w:p w14:paraId="5E020000">
      <w:pPr>
        <w:ind w:firstLine="540" w:left="0" w:right="-165"/>
        <w:jc w:val="both"/>
        <w:rPr>
          <w:sz w:val="28"/>
        </w:rPr>
      </w:pPr>
      <w:r>
        <w:rPr>
          <w:sz w:val="28"/>
        </w:rPr>
        <w:t>Срок реализации основного мероприятия: 2020 - 2021 годы, этапы реализации не выделяются.</w:t>
      </w:r>
    </w:p>
    <w:p w14:paraId="5F020000">
      <w:pPr>
        <w:ind w:firstLine="540" w:left="0" w:right="-165"/>
        <w:jc w:val="both"/>
        <w:rPr>
          <w:sz w:val="28"/>
        </w:rPr>
      </w:pPr>
      <w:r>
        <w:rPr>
          <w:sz w:val="28"/>
        </w:rPr>
        <w:t>Реализация основного мероприятия обеспечивает достижение показателей указанных в Муниципальной программе.</w:t>
      </w:r>
    </w:p>
    <w:p w14:paraId="60020000">
      <w:pPr>
        <w:ind w:firstLine="540" w:left="0" w:right="-165"/>
        <w:jc w:val="both"/>
        <w:rPr>
          <w:sz w:val="28"/>
        </w:rPr>
      </w:pPr>
      <w:r>
        <w:rPr>
          <w:sz w:val="28"/>
        </w:rPr>
        <w:t>Нереализация основного мероприятия повлечет снижение качества жизни сельского населения.</w:t>
      </w:r>
    </w:p>
    <w:p w14:paraId="61020000">
      <w:pPr>
        <w:tabs>
          <w:tab w:leader="none" w:pos="0" w:val="left"/>
        </w:tabs>
        <w:ind w:firstLine="360" w:left="0" w:right="-165"/>
        <w:jc w:val="both"/>
        <w:rPr>
          <w:sz w:val="28"/>
        </w:rPr>
      </w:pPr>
    </w:p>
    <w:p w14:paraId="62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Раздел 3. </w:t>
      </w:r>
      <w:r>
        <w:rPr>
          <w:b w:val="1"/>
          <w:sz w:val="28"/>
        </w:rPr>
        <w:t xml:space="preserve"> Информация об инвестиционных проектах, исполнение</w:t>
      </w:r>
    </w:p>
    <w:p w14:paraId="63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которых полностью или частично осуществляется за счет</w:t>
      </w:r>
    </w:p>
    <w:p w14:paraId="64020000">
      <w:pPr>
        <w:ind w:right="-165"/>
        <w:jc w:val="center"/>
        <w:rPr>
          <w:b w:val="1"/>
          <w:sz w:val="28"/>
        </w:rPr>
      </w:pPr>
      <w:r>
        <w:rPr>
          <w:b w:val="1"/>
          <w:sz w:val="28"/>
        </w:rPr>
        <w:t>средств местного бюджета</w:t>
      </w:r>
    </w:p>
    <w:p w14:paraId="65020000">
      <w:pPr>
        <w:ind w:right="-165"/>
        <w:jc w:val="center"/>
        <w:rPr>
          <w:sz w:val="28"/>
        </w:rPr>
      </w:pPr>
    </w:p>
    <w:p w14:paraId="66020000">
      <w:pPr>
        <w:ind w:firstLine="540" w:left="0" w:right="-165"/>
        <w:jc w:val="both"/>
        <w:rPr>
          <w:sz w:val="28"/>
        </w:rPr>
      </w:pPr>
      <w:r>
        <w:rPr>
          <w:sz w:val="28"/>
        </w:rPr>
        <w:t>Реализация инвестиционных проектов в сфере реализации Подпрограммы за счет средств местного бюджета не предусмотрена.</w:t>
      </w:r>
    </w:p>
    <w:p w14:paraId="67020000">
      <w:pPr>
        <w:ind w:firstLine="540" w:left="0" w:right="-165"/>
        <w:jc w:val="both"/>
        <w:rPr>
          <w:sz w:val="28"/>
        </w:rPr>
      </w:pPr>
    </w:p>
    <w:p w14:paraId="68020000">
      <w:pPr>
        <w:spacing w:line="276" w:lineRule="auto"/>
        <w:ind w:right="-165"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        Раздел 4. Обоснование объема финансовых ресурсов, необходимых для реализации подпрограммы</w:t>
      </w:r>
    </w:p>
    <w:p w14:paraId="69020000">
      <w:pPr>
        <w:spacing w:line="276" w:lineRule="auto"/>
        <w:ind w:right="-165"/>
        <w:jc w:val="center"/>
        <w:rPr>
          <w:sz w:val="28"/>
        </w:rPr>
      </w:pPr>
    </w:p>
    <w:p w14:paraId="6A020000">
      <w:pPr>
        <w:ind w:firstLine="709" w:left="0" w:right="-165"/>
        <w:jc w:val="both"/>
        <w:rPr>
          <w:sz w:val="28"/>
        </w:rPr>
      </w:pPr>
      <w:r>
        <w:rPr>
          <w:sz w:val="28"/>
        </w:rPr>
        <w:t xml:space="preserve">Ресурсное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"consultantplus://offline/ref=B5A3237287FEC4C590E40C3B232B21FF05012EBC0DE39466A922F4B514B08018E4AA3B189ADC74C4FDECB36BD64E2033EC85D6BA977A6E6641DD8EKCkAH"</w:instrText>
      </w:r>
      <w:r>
        <w:rPr>
          <w:sz w:val="28"/>
        </w:rPr>
        <w:fldChar w:fldCharType="separate"/>
      </w:r>
      <w:r>
        <w:rPr>
          <w:sz w:val="28"/>
        </w:rPr>
        <w:t>обеспечение</w:t>
      </w:r>
      <w:r>
        <w:rPr>
          <w:sz w:val="28"/>
        </w:rPr>
        <w:fldChar w:fldCharType="end"/>
      </w:r>
      <w:r>
        <w:rPr>
          <w:sz w:val="28"/>
        </w:rPr>
        <w:t xml:space="preserve">, прогнозная (справочная) оценка расходов федерального бюджета, областного бюджета, местного бюджета на реализацию целей Подпрограммы приведено в приложении № </w:t>
      </w:r>
      <w:r>
        <w:rPr>
          <w:sz w:val="28"/>
        </w:rPr>
        <w:t>4</w:t>
      </w:r>
      <w:r>
        <w:rPr>
          <w:sz w:val="28"/>
        </w:rPr>
        <w:t xml:space="preserve"> к Муниципальной программе.</w:t>
      </w:r>
    </w:p>
    <w:p w14:paraId="6B020000">
      <w:pPr>
        <w:ind w:right="-165"/>
        <w:jc w:val="both"/>
        <w:rPr>
          <w:b w:val="1"/>
          <w:sz w:val="28"/>
        </w:rPr>
      </w:pPr>
    </w:p>
    <w:p w14:paraId="6C020000">
      <w:pPr>
        <w:ind w:firstLine="540" w:left="0" w:right="-165"/>
        <w:jc w:val="center"/>
        <w:rPr>
          <w:b w:val="1"/>
          <w:sz w:val="28"/>
        </w:rPr>
      </w:pPr>
      <w:r>
        <w:rPr>
          <w:b w:val="1"/>
          <w:sz w:val="28"/>
        </w:rPr>
        <w:t>Раздел 5. Анализ рисков реализации подпрограммы и описание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мер управления рисками</w:t>
      </w:r>
    </w:p>
    <w:p w14:paraId="6D020000">
      <w:pPr>
        <w:ind w:firstLine="540" w:left="0" w:right="-165"/>
        <w:jc w:val="center"/>
        <w:rPr>
          <w:sz w:val="28"/>
        </w:rPr>
      </w:pPr>
    </w:p>
    <w:p w14:paraId="6E020000">
      <w:pPr>
        <w:ind w:firstLine="540" w:left="0" w:right="-165"/>
        <w:jc w:val="both"/>
        <w:rPr>
          <w:sz w:val="28"/>
        </w:rPr>
      </w:pPr>
      <w:r>
        <w:rPr>
          <w:sz w:val="28"/>
        </w:rPr>
        <w:t>К основному риску реализации подпрограммы относится неполное финансирование Муниципальной  программы, что не позволит достичь выполнения запланированных индикаторов (показателей) подпрограммы.</w:t>
      </w:r>
    </w:p>
    <w:p w14:paraId="6F020000">
      <w:pPr>
        <w:ind w:firstLine="540" w:left="0" w:right="-165"/>
        <w:jc w:val="both"/>
        <w:rPr>
          <w:sz w:val="28"/>
        </w:rPr>
      </w:pPr>
      <w:r>
        <w:rPr>
          <w:sz w:val="28"/>
        </w:rPr>
        <w:t>К мерам управления рисками, которые могут оказать влияние на достижение запланированных целей, относятся обеспечение выделения бюджетных ассигнований в объемах, запланированных подпрограммой.</w:t>
      </w:r>
    </w:p>
    <w:p w14:paraId="70020000">
      <w:pPr>
        <w:ind w:firstLine="540" w:left="0" w:right="-165"/>
        <w:jc w:val="both"/>
        <w:rPr>
          <w:sz w:val="28"/>
        </w:rPr>
      </w:pPr>
    </w:p>
    <w:p w14:paraId="71020000">
      <w:pPr>
        <w:ind w:firstLine="540" w:left="0" w:right="-165"/>
        <w:jc w:val="both"/>
        <w:rPr>
          <w:sz w:val="28"/>
        </w:rPr>
      </w:pPr>
    </w:p>
    <w:p w14:paraId="72020000">
      <w:pPr>
        <w:ind w:firstLine="540" w:left="0" w:right="-165"/>
        <w:jc w:val="both"/>
        <w:rPr>
          <w:sz w:val="28"/>
        </w:rPr>
      </w:pPr>
    </w:p>
    <w:p w14:paraId="73020000">
      <w:pPr>
        <w:ind w:firstLine="840" w:left="0" w:right="-165"/>
        <w:jc w:val="right"/>
        <w:rPr>
          <w:rFonts w:ascii="Arial" w:hAnsi="Arial"/>
        </w:rPr>
      </w:pPr>
    </w:p>
    <w:p w14:paraId="74020000">
      <w:pPr>
        <w:sectPr>
          <w:headerReference r:id="rId7" w:type="default"/>
          <w:headerReference r:id="rId5" w:type="even"/>
          <w:footerReference r:id="rId8" w:type="default"/>
          <w:footerReference r:id="rId6" w:type="even"/>
          <w:pgSz w:h="16840" w:orient="portrait" w:w="11907"/>
          <w:pgMar w:bottom="851" w:footer="720" w:gutter="0" w:header="720" w:left="1440" w:right="851" w:top="1106"/>
          <w:titlePg/>
        </w:sectPr>
      </w:pPr>
    </w:p>
    <w:p w14:paraId="75020000">
      <w:pPr>
        <w:ind w:firstLine="0" w:left="10620"/>
        <w:jc w:val="right"/>
        <w:rPr>
          <w:sz w:val="28"/>
        </w:rPr>
      </w:pPr>
      <w:r>
        <w:rPr>
          <w:sz w:val="28"/>
        </w:rPr>
        <w:t>Приложение № 1</w:t>
      </w:r>
    </w:p>
    <w:p w14:paraId="76020000">
      <w:pPr>
        <w:ind w:firstLine="0" w:left="8931" w:right="-255"/>
        <w:jc w:val="right"/>
        <w:rPr>
          <w:sz w:val="28"/>
        </w:rPr>
      </w:pPr>
      <w:r>
        <w:rPr>
          <w:sz w:val="28"/>
        </w:rPr>
        <w:t xml:space="preserve">к </w:t>
      </w:r>
      <w:r>
        <w:rPr>
          <w:sz w:val="28"/>
        </w:rPr>
        <w:t>муниципальной</w:t>
      </w:r>
      <w:r>
        <w:rPr>
          <w:sz w:val="28"/>
        </w:rPr>
        <w:t xml:space="preserve"> программе</w:t>
      </w:r>
      <w:r>
        <w:rPr>
          <w:sz w:val="28"/>
        </w:rPr>
        <w:t xml:space="preserve"> Горшеченского района </w:t>
      </w:r>
      <w:r>
        <w:rPr>
          <w:sz w:val="28"/>
        </w:rPr>
        <w:t>Курской области</w:t>
      </w:r>
      <w:r>
        <w:rPr>
          <w:sz w:val="28"/>
        </w:rPr>
        <w:t xml:space="preserve"> «Комплексное </w:t>
      </w:r>
      <w:r>
        <w:rPr>
          <w:sz w:val="28"/>
        </w:rPr>
        <w:t>развитие сельских территорий</w:t>
      </w:r>
      <w:r>
        <w:rPr>
          <w:sz w:val="28"/>
        </w:rPr>
        <w:t xml:space="preserve"> Горшеченского района</w:t>
      </w:r>
      <w:r>
        <w:rPr>
          <w:sz w:val="28"/>
        </w:rPr>
        <w:t xml:space="preserve"> Курской области"</w:t>
      </w:r>
    </w:p>
    <w:p w14:paraId="77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СВЕДЕНИЯ</w:t>
      </w:r>
    </w:p>
    <w:p w14:paraId="78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 ПОКАЗАТЕЛЯХ (ИНДИКАТОРАХ) МУНИЦИПАЛЬНОЙ ПРОГРАММЫ ГОРШЕЧЕНСКОГО РАЙОНА</w:t>
      </w:r>
    </w:p>
    <w:p w14:paraId="79020000">
      <w:pPr>
        <w:pStyle w:val="Style_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КУРСКОЙ ОБЛАСТИ «</w:t>
      </w:r>
      <w:r>
        <w:rPr>
          <w:rFonts w:ascii="Times New Roman" w:hAnsi="Times New Roman"/>
          <w:sz w:val="28"/>
        </w:rPr>
        <w:t>КОМПЛЕКСН</w:t>
      </w:r>
      <w:r>
        <w:rPr>
          <w:rFonts w:ascii="Times New Roman" w:hAnsi="Times New Roman"/>
          <w:sz w:val="28"/>
        </w:rPr>
        <w:t>ОЕ РАЗВИТИЕ СЕЛЬСКИХ ТЕРРИТОРИЙ</w:t>
      </w:r>
      <w:r>
        <w:rPr>
          <w:rFonts w:ascii="Times New Roman" w:hAnsi="Times New Roman"/>
          <w:sz w:val="28"/>
        </w:rPr>
        <w:t xml:space="preserve">  ГОРШЕЧЕНСКОГО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КУРСКОЙ ОБЛАСТИ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ПОДПРОГРАММ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 И ИХ ЗНАЧЕНИЯХ</w:t>
      </w:r>
    </w:p>
    <w:p w14:paraId="7A020000">
      <w:pPr>
        <w:ind/>
        <w:jc w:val="center"/>
        <w:rPr>
          <w:b w:val="1"/>
          <w:sz w:val="28"/>
        </w:rPr>
      </w:pPr>
    </w:p>
    <w:tbl>
      <w:tblPr>
        <w:tblStyle w:val="Style_4"/>
        <w:tblW w:type="auto" w:w="0"/>
        <w:tblInd w:type="dxa" w:w="34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650"/>
        <w:gridCol w:w="4810"/>
        <w:gridCol w:w="1231"/>
        <w:gridCol w:w="838"/>
        <w:gridCol w:w="1206"/>
        <w:gridCol w:w="1198"/>
        <w:gridCol w:w="1099"/>
        <w:gridCol w:w="1159"/>
        <w:gridCol w:w="1137"/>
        <w:gridCol w:w="1071"/>
        <w:gridCol w:w="8"/>
      </w:tblGrid>
      <w:tr>
        <w:trPr>
          <w:trHeight w:hRule="atLeast" w:val="276"/>
        </w:trPr>
        <w:tc>
          <w:tcPr>
            <w:tcW w:type="dxa" w:w="6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B020000">
            <w:pPr>
              <w:ind/>
              <w:jc w:val="center"/>
            </w:pPr>
            <w:r>
              <w:t>№</w:t>
            </w:r>
          </w:p>
          <w:p w14:paraId="7C020000">
            <w:pPr>
              <w:ind/>
              <w:jc w:val="center"/>
            </w:pPr>
            <w:r>
              <w:t>п/п</w:t>
            </w:r>
          </w:p>
        </w:tc>
        <w:tc>
          <w:tcPr>
            <w:tcW w:type="dxa" w:w="48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D020000">
            <w:pPr>
              <w:ind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type="dxa" w:w="12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E020000">
            <w:pPr>
              <w:ind/>
              <w:jc w:val="center"/>
            </w:pPr>
            <w:r>
              <w:t>Ед. измерения</w:t>
            </w:r>
          </w:p>
        </w:tc>
        <w:tc>
          <w:tcPr>
            <w:tcW w:type="dxa" w:w="771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F020000">
            <w:pPr>
              <w:ind/>
              <w:jc w:val="center"/>
            </w:pPr>
            <w:r>
              <w:t>Значение показателей</w:t>
            </w:r>
          </w:p>
        </w:tc>
      </w:tr>
      <w:tr>
        <w:trPr>
          <w:trHeight w:hRule="atLeast" w:val="528"/>
        </w:trPr>
        <w:tc>
          <w:tcPr>
            <w:tcW w:type="dxa" w:w="6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48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2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0020000">
            <w:pPr>
              <w:ind/>
              <w:jc w:val="center"/>
            </w:pPr>
            <w:r>
              <w:t xml:space="preserve">2020 </w:t>
            </w:r>
          </w:p>
          <w:p w14:paraId="81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2020000">
            <w:pPr>
              <w:ind/>
              <w:jc w:val="center"/>
            </w:pPr>
            <w:r>
              <w:t xml:space="preserve">2021 </w:t>
            </w:r>
          </w:p>
          <w:p w14:paraId="83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4020000">
            <w:pPr>
              <w:ind/>
              <w:jc w:val="center"/>
            </w:pPr>
            <w:r>
              <w:t xml:space="preserve">2022 </w:t>
            </w:r>
          </w:p>
          <w:p w14:paraId="85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6020000">
            <w:pPr>
              <w:ind/>
              <w:jc w:val="center"/>
            </w:pPr>
            <w:r>
              <w:t xml:space="preserve">2023 </w:t>
            </w:r>
          </w:p>
          <w:p w14:paraId="87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8020000">
            <w:pPr>
              <w:ind/>
              <w:jc w:val="center"/>
            </w:pPr>
            <w:r>
              <w:t xml:space="preserve">2024 </w:t>
            </w:r>
          </w:p>
          <w:p w14:paraId="89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A020000">
            <w:pPr>
              <w:ind/>
              <w:jc w:val="center"/>
            </w:pPr>
            <w:r>
              <w:t xml:space="preserve">2025 </w:t>
            </w:r>
          </w:p>
          <w:p w14:paraId="8B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C020000">
            <w:pPr>
              <w:ind/>
              <w:jc w:val="center"/>
            </w:pPr>
            <w:r>
              <w:t xml:space="preserve">2026 </w:t>
            </w:r>
          </w:p>
          <w:p w14:paraId="8D020000">
            <w:pPr>
              <w:ind/>
              <w:jc w:val="center"/>
            </w:pPr>
            <w:r>
              <w:t>год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3328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E020000">
            <w:pPr>
              <w:ind/>
              <w:jc w:val="center"/>
            </w:pPr>
            <w:r>
              <w:t>Муниципальная  программа Горшеченского района  Курской области «</w:t>
            </w:r>
            <w:r>
              <w:rPr>
                <w:b w:val="1"/>
              </w:rPr>
              <w:t>КОМПЛЕКСНОЕ РАЗВИТИЕ СЕЛЬСКИХ ТЕРРИТОРИЙ  ГОРШЕЧЕНСКОГО РАЙОНА КУРСКОЙ ОБЛАСТИ</w:t>
            </w:r>
            <w:r>
              <w:t>»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F020000">
            <w:pPr>
              <w:ind/>
              <w:jc w:val="center"/>
            </w:pP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0020000">
            <w:pPr>
              <w:ind/>
              <w:jc w:val="both"/>
            </w:pPr>
            <w:r>
              <w:t>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1020000">
            <w:pPr>
              <w:ind/>
              <w:jc w:val="both"/>
            </w:pPr>
            <w:r>
              <w:t>Индекс  доли сельского населения в общей численности населения Курской области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2020000">
            <w:pPr>
              <w:ind/>
              <w:jc w:val="center"/>
            </w:pPr>
            <w:r>
              <w:t>процент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3020000">
            <w:pPr>
              <w:ind/>
              <w:jc w:val="center"/>
            </w:pPr>
            <w:r>
              <w:t>65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4020000">
            <w:pPr>
              <w:ind/>
              <w:jc w:val="center"/>
            </w:pPr>
            <w:r>
              <w:t>65,1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5020000">
            <w:pPr>
              <w:ind/>
              <w:jc w:val="center"/>
            </w:pPr>
            <w:r>
              <w:t>65,2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6020000">
            <w:pPr>
              <w:ind/>
              <w:jc w:val="center"/>
            </w:pPr>
            <w:r>
              <w:t>65,3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7020000">
            <w:pPr>
              <w:ind/>
              <w:jc w:val="center"/>
            </w:pPr>
            <w:r>
              <w:t>65,4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8020000">
            <w:pPr>
              <w:ind/>
              <w:jc w:val="center"/>
            </w:pPr>
            <w:r>
              <w:t>65,5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9020000">
            <w:pPr>
              <w:ind/>
              <w:jc w:val="center"/>
            </w:pPr>
            <w:r>
              <w:t>65,5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A020000">
            <w:pPr>
              <w:ind/>
              <w:jc w:val="both"/>
            </w:pPr>
            <w:r>
              <w:t>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B020000">
            <w:pPr>
              <w:ind/>
              <w:jc w:val="both"/>
            </w:pPr>
            <w:r>
              <w:t>Индекс соотношения среднемесячных располагаемых ресурсов сельского и городского домохозяйств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C020000">
            <w:pPr>
              <w:ind/>
              <w:jc w:val="center"/>
            </w:pPr>
            <w:r>
              <w:t>процент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D020000">
            <w:pPr>
              <w:ind/>
              <w:jc w:val="center"/>
            </w:pPr>
            <w:r>
              <w:t>64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E020000">
            <w:pPr>
              <w:ind/>
              <w:jc w:val="center"/>
            </w:pPr>
            <w:r>
              <w:t>64,1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F020000">
            <w:pPr>
              <w:ind/>
              <w:jc w:val="center"/>
            </w:pPr>
            <w:r>
              <w:t>64,2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0020000">
            <w:pPr>
              <w:ind/>
              <w:jc w:val="center"/>
            </w:pPr>
            <w:r>
              <w:t>64,3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1020000">
            <w:pPr>
              <w:ind/>
              <w:jc w:val="center"/>
            </w:pPr>
            <w:r>
              <w:t>65,4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2020000">
            <w:pPr>
              <w:ind/>
              <w:jc w:val="center"/>
            </w:pPr>
            <w:r>
              <w:t>65,5</w:t>
            </w:r>
          </w:p>
          <w:p w14:paraId="A3020000">
            <w:pPr>
              <w:ind/>
              <w:jc w:val="center"/>
            </w:pP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4020000">
            <w:pPr>
              <w:ind/>
              <w:jc w:val="center"/>
            </w:pPr>
            <w:r>
              <w:t>65,5</w:t>
            </w:r>
          </w:p>
          <w:p w14:paraId="A5020000">
            <w:pPr>
              <w:ind/>
              <w:jc w:val="center"/>
            </w:pP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3328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6020000">
            <w:pPr>
              <w:ind/>
              <w:jc w:val="center"/>
            </w:pPr>
            <w:r>
              <w:t>Подпрограмма 3 «Создание и развитие инфраструктуры на сельских территориях»</w:t>
            </w:r>
            <w:r>
              <w:t xml:space="preserve"> 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7020000">
            <w:pPr>
              <w:ind/>
              <w:jc w:val="center"/>
            </w:pP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8020000">
            <w:pPr>
              <w:ind/>
              <w:jc w:val="center"/>
            </w:pPr>
            <w:r>
              <w:t>6.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9020000">
            <w:r>
              <w:t>Количество реализованных проектов комплексного развития сельских территорий (сельских агломераций)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A020000">
            <w:pPr>
              <w:ind/>
              <w:jc w:val="center"/>
            </w:pPr>
            <w:r>
              <w:t>единиц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B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C020000">
            <w:pPr>
              <w:ind/>
              <w:jc w:val="center"/>
            </w:pPr>
            <w:r>
              <w:t>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D020000">
            <w:pPr>
              <w:ind/>
              <w:jc w:val="center"/>
            </w:pPr>
            <w:r>
              <w:t>1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E020000">
            <w:pPr>
              <w:ind/>
              <w:jc w:val="center"/>
            </w:pPr>
            <w:r>
              <w:rPr>
                <w:highlight w:val="yellow"/>
              </w:rPr>
              <w:t>1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F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0020000">
            <w:pPr>
              <w:ind/>
              <w:jc w:val="center"/>
            </w:pPr>
            <w:r>
              <w:t>0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1020000">
            <w:pPr>
              <w:ind/>
              <w:jc w:val="center"/>
            </w:pPr>
            <w:r>
              <w:t>0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2020000">
            <w:pPr>
              <w:ind/>
              <w:jc w:val="center"/>
            </w:pPr>
            <w:r>
              <w:t>7.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3020000">
            <w:r>
              <w:t>Ввод в эксплуатацию автомобильных дорог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4020000">
            <w:pPr>
              <w:ind/>
              <w:jc w:val="center"/>
            </w:pPr>
            <w:r>
              <w:t>км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5020000">
            <w:pPr>
              <w:ind/>
              <w:jc w:val="center"/>
            </w:pP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6020000">
            <w:pPr>
              <w:ind/>
              <w:jc w:val="center"/>
            </w:pP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7020000">
            <w:pPr>
              <w:ind/>
              <w:jc w:val="center"/>
            </w:pP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8020000">
            <w:pPr>
              <w:ind/>
              <w:jc w:val="center"/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9020000">
            <w:pPr>
              <w:ind/>
              <w:jc w:val="center"/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A020000">
            <w:pPr>
              <w:ind/>
              <w:jc w:val="center"/>
            </w:pP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B020000">
            <w:pPr>
              <w:ind/>
              <w:jc w:val="center"/>
            </w:pP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C020000">
            <w:pPr>
              <w:ind/>
              <w:jc w:val="center"/>
            </w:pPr>
            <w:r>
              <w:t>8.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D020000">
            <w:r>
              <w:t>Ввод в действие распределительных газовых сетей в сельской местности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E020000">
            <w:pPr>
              <w:ind/>
              <w:jc w:val="center"/>
            </w:pPr>
            <w:r>
              <w:t>км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F020000">
            <w:pPr>
              <w:ind/>
              <w:jc w:val="center"/>
            </w:pPr>
            <w:r>
              <w:t>0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0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1020000">
            <w:pPr>
              <w:ind/>
              <w:jc w:val="center"/>
            </w:pPr>
            <w:r>
              <w:t>0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2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3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4020000">
            <w:pPr>
              <w:ind/>
              <w:jc w:val="center"/>
            </w:pPr>
            <w:r>
              <w:t>0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5020000">
            <w:pPr>
              <w:ind/>
              <w:jc w:val="center"/>
            </w:pPr>
            <w:r>
              <w:t>0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6020000">
            <w:pPr>
              <w:ind/>
              <w:jc w:val="center"/>
            </w:pPr>
            <w:r>
              <w:t>9.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7020000">
            <w:r>
              <w:t>Ввод в действие локальных водопроводов в сельской местности</w:t>
            </w:r>
          </w:p>
        </w:tc>
        <w:tc>
          <w:tcPr>
            <w:tcW w:type="dxa" w:w="1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8020000">
            <w:pPr>
              <w:ind/>
              <w:jc w:val="center"/>
            </w:pPr>
            <w:r>
              <w:t>км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9020000">
            <w:pPr>
              <w:ind/>
              <w:jc w:val="center"/>
            </w:pPr>
            <w:r>
              <w:t>0</w:t>
            </w:r>
          </w:p>
        </w:tc>
        <w:tc>
          <w:tcPr>
            <w:tcW w:type="dxa" w:w="1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A020000">
            <w:pPr>
              <w:ind/>
              <w:jc w:val="center"/>
            </w:pPr>
            <w:r>
              <w:t>4,831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B020000">
            <w:pPr>
              <w:ind/>
              <w:jc w:val="center"/>
            </w:pPr>
            <w:r>
              <w:t>0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C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D020000">
            <w:pPr>
              <w:ind/>
              <w:jc w:val="center"/>
            </w:pPr>
            <w:r>
              <w:t>0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E020000">
            <w:pPr>
              <w:ind/>
              <w:jc w:val="center"/>
            </w:pPr>
            <w:r>
              <w:t>0</w:t>
            </w:r>
          </w:p>
        </w:tc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F020000">
            <w:pPr>
              <w:ind/>
              <w:jc w:val="center"/>
            </w:pPr>
            <w:r>
              <w:t>0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</w:tbl>
    <w:p w14:paraId="D0020000">
      <w:pPr>
        <w:ind/>
        <w:jc w:val="right"/>
        <w:rPr>
          <w:sz w:val="28"/>
        </w:rPr>
      </w:pPr>
      <w:r>
        <w:br w:type="page"/>
      </w:r>
      <w:r>
        <w:rPr>
          <w:sz w:val="28"/>
        </w:rPr>
        <w:t>Приложение № 3</w:t>
      </w:r>
    </w:p>
    <w:p w14:paraId="D1020000">
      <w:pPr>
        <w:ind w:firstLine="0" w:left="8931" w:right="-255"/>
        <w:jc w:val="right"/>
        <w:rPr>
          <w:sz w:val="28"/>
        </w:rPr>
      </w:pPr>
      <w:r>
        <w:rPr>
          <w:sz w:val="28"/>
        </w:rPr>
        <w:t>к муниципальной программе Горшеченского района Курской области «Комплексное развитие сельских территорий Горшеченского района Курской области"</w:t>
      </w:r>
    </w:p>
    <w:p w14:paraId="D2020000">
      <w:pPr>
        <w:rPr>
          <w:sz w:val="28"/>
        </w:rPr>
      </w:pPr>
    </w:p>
    <w:p w14:paraId="D3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ПЕРЕЧЕНЬ ПОДПРОГРАММ И ОСНОВНЫХ МЕРОПРИЯТИЙ </w:t>
      </w:r>
      <w:r>
        <w:rPr>
          <w:b w:val="1"/>
          <w:sz w:val="28"/>
        </w:rPr>
        <w:t>МУНИЦИПАЛЬНОЙ</w:t>
      </w:r>
      <w:r>
        <w:rPr>
          <w:b w:val="1"/>
          <w:sz w:val="28"/>
        </w:rPr>
        <w:t xml:space="preserve"> ПРОГРАММЫ</w:t>
      </w:r>
      <w:r>
        <w:rPr>
          <w:b w:val="1"/>
          <w:sz w:val="28"/>
        </w:rPr>
        <w:t xml:space="preserve"> ГОРШЕЧЕНСКОГО РАЙОНА</w:t>
      </w:r>
      <w:r>
        <w:rPr>
          <w:b w:val="1"/>
          <w:sz w:val="28"/>
        </w:rPr>
        <w:t xml:space="preserve"> КУРСКОЙ ОБЛАСТИ «</w:t>
      </w:r>
      <w:r>
        <w:rPr>
          <w:b w:val="1"/>
          <w:sz w:val="28"/>
        </w:rPr>
        <w:t>КОМПЛЕКСНОЕ РАЗВИТИЕ СЕЛЬСКИХ ТЕРРИТОРИЙ  ГОРШЕЧЕНСКОГО РАЙОНА КУРСКОЙ ОБЛАСТИ</w:t>
      </w:r>
      <w:r>
        <w:rPr>
          <w:b w:val="1"/>
          <w:sz w:val="28"/>
        </w:rPr>
        <w:t>»</w:t>
      </w:r>
    </w:p>
    <w:p w14:paraId="D4020000">
      <w:pPr>
        <w:rPr>
          <w:sz w:val="28"/>
        </w:rPr>
      </w:pPr>
    </w:p>
    <w:tbl>
      <w:tblPr>
        <w:tblStyle w:val="Style_4"/>
        <w:tblW w:type="auto" w:w="0"/>
        <w:tblInd w:type="dxa" w:w="-5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602"/>
        <w:gridCol w:w="2580"/>
        <w:gridCol w:w="2049"/>
        <w:gridCol w:w="1287"/>
        <w:gridCol w:w="1315"/>
        <w:gridCol w:w="2768"/>
        <w:gridCol w:w="2533"/>
        <w:gridCol w:w="2175"/>
      </w:tblGrid>
      <w:tr>
        <w:tc>
          <w:tcPr>
            <w:tcW w:type="dxa" w:w="6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5020000">
            <w:pPr>
              <w:ind/>
              <w:jc w:val="center"/>
            </w:pPr>
            <w:r>
              <w:t xml:space="preserve">№ </w:t>
            </w:r>
          </w:p>
          <w:p w14:paraId="D6020000">
            <w:pPr>
              <w:ind/>
              <w:jc w:val="center"/>
            </w:pPr>
            <w:r>
              <w:t xml:space="preserve">п/п 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7020000">
            <w:pPr>
              <w:ind/>
              <w:jc w:val="center"/>
            </w:pPr>
            <w:r>
              <w:t xml:space="preserve">Номер и наименование ведомственной целевой программы, основного мероприятия </w:t>
            </w:r>
          </w:p>
        </w:tc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8020000">
            <w:pPr>
              <w:ind/>
              <w:jc w:val="center"/>
            </w:pPr>
            <w:r>
              <w:t xml:space="preserve">Ответственный исполнитель </w:t>
            </w:r>
          </w:p>
        </w:tc>
        <w:tc>
          <w:tcPr>
            <w:tcW w:type="dxa" w:w="26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9020000">
            <w:pPr>
              <w:ind/>
              <w:jc w:val="center"/>
            </w:pPr>
            <w:r>
              <w:t xml:space="preserve">Срок </w:t>
            </w:r>
          </w:p>
        </w:tc>
        <w:tc>
          <w:tcPr>
            <w:tcW w:type="dxa" w:w="27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A020000">
            <w:pPr>
              <w:ind/>
              <w:jc w:val="center"/>
            </w:pPr>
            <w:r>
              <w:t xml:space="preserve">Ожидаемый непосредственный результат (краткое описание) </w:t>
            </w:r>
          </w:p>
        </w:tc>
        <w:tc>
          <w:tcPr>
            <w:tcW w:type="dxa" w:w="25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B020000">
            <w:pPr>
              <w:ind/>
              <w:jc w:val="center"/>
            </w:pPr>
            <w:r>
              <w:t xml:space="preserve">Основные направления реализации </w:t>
            </w:r>
          </w:p>
        </w:tc>
        <w:tc>
          <w:tcPr>
            <w:tcW w:type="dxa" w:w="21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C020000">
            <w:pPr>
              <w:ind/>
              <w:jc w:val="center"/>
            </w:pPr>
            <w:r>
              <w:t xml:space="preserve">Связь с показателями государственной программы (подпрограммы) </w:t>
            </w:r>
          </w:p>
        </w:tc>
      </w:tr>
      <w:tr>
        <w:tc>
          <w:tcPr>
            <w:tcW w:type="dxa" w:w="6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D020000">
            <w:pPr>
              <w:ind/>
              <w:jc w:val="center"/>
            </w:pPr>
            <w:r>
              <w:t xml:space="preserve">начала реализации 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E020000">
            <w:pPr>
              <w:ind/>
              <w:jc w:val="center"/>
            </w:pPr>
            <w:r>
              <w:t xml:space="preserve">окончания реализации </w:t>
            </w:r>
          </w:p>
        </w:tc>
        <w:tc>
          <w:tcPr>
            <w:tcW w:type="dxa" w:w="27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5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53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F020000">
            <w:pPr>
              <w:ind/>
              <w:jc w:val="center"/>
            </w:pPr>
            <w: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>
        <w:tc>
          <w:tcPr>
            <w:tcW w:type="dxa" w:w="153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0020000">
            <w:pPr>
              <w:ind/>
              <w:jc w:val="center"/>
            </w:pPr>
            <w:r>
              <w:t>Подпрограмма 2 «</w:t>
            </w:r>
            <w:r>
              <w:rPr>
                <w:color w:val="000000"/>
              </w:rPr>
              <w:t>Развитие рынка труда (кадрового потенциала) на сельских территориях</w:t>
            </w:r>
            <w:r>
              <w:t>»</w:t>
            </w:r>
          </w:p>
        </w:tc>
      </w:tr>
      <w:tr>
        <w:tc>
          <w:tcPr>
            <w:tcW w:type="dxa" w:w="153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1020000">
            <w:pPr>
              <w:ind/>
              <w:jc w:val="center"/>
            </w:pPr>
            <w:r>
              <w:t>Подпрограмма 3 «Создание и развитие инфраструктуры на сельских территориях»</w:t>
            </w:r>
          </w:p>
        </w:tc>
      </w:tr>
      <w:tr>
        <w:tc>
          <w:tcPr>
            <w:tcW w:type="dxa" w:w="6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2020000">
            <w:pPr>
              <w:rPr>
                <w:sz w:val="28"/>
              </w:rPr>
            </w:pP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3020000">
            <w:r>
              <w:t>Основное мероприятие  3.1 «Современный облик сельских территорий»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4020000">
            <w:r>
              <w:t>Администрация Горшеченского района Курской области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5020000">
            <w:pPr>
              <w:ind/>
              <w:jc w:val="center"/>
            </w:pPr>
            <w:r>
              <w:t>2020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6020000">
            <w:pPr>
              <w:ind/>
              <w:jc w:val="center"/>
            </w:pPr>
            <w:r>
              <w:t>202</w:t>
            </w:r>
            <w:r>
              <w:t>7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7020000">
            <w:pPr>
              <w:ind/>
              <w:jc w:val="both"/>
            </w:pPr>
            <w:r>
              <w:t>реализовать проектов комплексного развития сельских террит</w:t>
            </w:r>
            <w:r>
              <w:t>орий (сельских агломераций)</w:t>
            </w:r>
          </w:p>
          <w:p w14:paraId="E8020000">
            <w:pPr>
              <w:ind/>
              <w:jc w:val="both"/>
            </w:pPr>
            <w:r>
              <w:t xml:space="preserve">         </w:t>
            </w:r>
            <w:r>
              <w:t>- Реконструкция Болотского сельского дома культуры, расположенного по адресу: Курская область, Горшеченский район, с. Болото;</w:t>
            </w:r>
          </w:p>
          <w:p w14:paraId="E9020000">
            <w:pPr>
              <w:ind/>
              <w:jc w:val="both"/>
            </w:pPr>
            <w:r>
              <w:t>- Многофункциональная спортивная площадка в с. Болото Горшеченского района Курской области;</w:t>
            </w:r>
          </w:p>
          <w:p w14:paraId="EA020000">
            <w:pPr>
              <w:ind/>
              <w:jc w:val="both"/>
            </w:pPr>
            <w:r>
              <w:t xml:space="preserve"> </w:t>
            </w:r>
            <w:r>
              <w:t xml:space="preserve">            </w:t>
            </w:r>
            <w:r>
              <w:t>- Фельдшерско-акушерский пункт в с. Болото Горшеченского района Курской области</w:t>
            </w:r>
          </w:p>
          <w:p w14:paraId="EB020000">
            <w:pPr>
              <w:ind/>
              <w:jc w:val="both"/>
            </w:pPr>
          </w:p>
          <w:p w14:paraId="EC020000">
            <w:pPr>
              <w:ind/>
              <w:jc w:val="center"/>
            </w:pPr>
          </w:p>
        </w:tc>
        <w:tc>
          <w:tcPr>
            <w:tcW w:type="dxa" w:w="2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D020000">
            <w:pPr>
              <w:ind/>
              <w:jc w:val="center"/>
            </w:pPr>
            <w:r>
              <w:t>В рамках данного мероприятия предусматривается предоставление субсидий:</w:t>
            </w:r>
          </w:p>
          <w:p w14:paraId="EE020000">
            <w:pPr>
              <w:ind/>
              <w:jc w:val="center"/>
            </w:pPr>
            <w:r>
              <w:t>на строительство, реконструкцию, модернизацию и капитальный ремонт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сооружения), строительство социокультурных и многофункциональных центров;</w:t>
            </w:r>
          </w:p>
          <w:p w14:paraId="EF020000">
            <w:pPr>
              <w:ind/>
              <w:jc w:val="center"/>
            </w:pPr>
            <w:r>
              <w:t>на приобретение новой автомобильной техники и оборудования для обеспечения функционирования существующих объектов социальной и культурной сферы, в том числе автобусов, санитарного транспорта, мобильных медицинских комплексов, оборудования для реализации проектов в области телемедицины, оборудования для предоставления дистанционных услуг;</w:t>
            </w:r>
          </w:p>
          <w:p w14:paraId="F0020000">
            <w:pPr>
              <w:ind/>
              <w:jc w:val="center"/>
            </w:pPr>
            <w:r>
              <w:t>на развитие водоснабжения (строительство 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 развитие жилищно-коммунальных объектов (строительство блочномодульных котельных и перевод многоквартирных жилых домой на индивидуальное отопление);</w:t>
            </w:r>
          </w:p>
          <w:p w14:paraId="F1020000">
            <w:pPr>
              <w:ind/>
              <w:jc w:val="center"/>
            </w:pPr>
            <w:r>
              <w:t>на развитие энергообеспечения (строительство, приобретение и монтаж газо-поршневых установок, газгольдеров, распределительных газовых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энергосбережения;</w:t>
            </w:r>
          </w:p>
          <w:p w14:paraId="F2020000">
            <w:pPr>
              <w:ind/>
              <w:jc w:val="center"/>
            </w:pPr>
            <w:r>
              <w:t>на развитие телекоммуникаций (приобретения и монтаж оборудования, строительство линий передачи данных, обеспечивающих возможность подключения к сети «Интернет»)</w:t>
            </w:r>
          </w:p>
        </w:tc>
        <w:tc>
          <w:tcPr>
            <w:tcW w:type="dxa" w:w="2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3020000">
            <w:pPr>
              <w:ind/>
              <w:jc w:val="center"/>
            </w:pPr>
            <w:r>
              <w:t xml:space="preserve">Реализация основного мероприятия обеспечивает достижение показателя </w:t>
            </w:r>
            <w:r>
              <w:t>6</w:t>
            </w:r>
            <w:r>
              <w:t xml:space="preserve">, указанного в приложении № 1 к </w:t>
            </w:r>
            <w:r>
              <w:t>муниципальной</w:t>
            </w:r>
            <w:r>
              <w:t xml:space="preserve"> программе</w:t>
            </w:r>
          </w:p>
          <w:p w14:paraId="F4020000">
            <w:pPr>
              <w:ind/>
              <w:jc w:val="center"/>
            </w:pPr>
          </w:p>
        </w:tc>
      </w:tr>
      <w:tr>
        <w:trPr>
          <w:trHeight w:hRule="atLeast" w:val="1453"/>
        </w:trPr>
        <w:tc>
          <w:tcPr>
            <w:tcW w:type="dxa" w:w="6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5020000">
            <w:pPr>
              <w:rPr>
                <w:sz w:val="28"/>
              </w:rPr>
            </w:pP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6020000">
            <w:r>
              <w:t>Основное мероприятие  3.2 «Развитие транспортной инфраструктуры»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7020000">
            <w:r>
              <w:t>Администрация Горшеченского района Курской области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8020000">
            <w:pPr>
              <w:ind/>
              <w:jc w:val="center"/>
            </w:pPr>
            <w:r>
              <w:t>2020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9020000">
            <w:pPr>
              <w:ind/>
              <w:jc w:val="center"/>
            </w:pPr>
            <w:r>
              <w:t>202</w:t>
            </w:r>
            <w:r>
              <w:t>7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A020000">
            <w:pPr>
              <w:ind/>
              <w:jc w:val="center"/>
            </w:pPr>
            <w:r>
              <w:t>ввести в эксплуатацию автомобильные дороги общего пользования с твердым покрытием, ведущие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–км.</w:t>
            </w:r>
          </w:p>
        </w:tc>
        <w:tc>
          <w:tcPr>
            <w:tcW w:type="dxa" w:w="2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B020000">
            <w:pPr>
              <w:ind/>
              <w:jc w:val="center"/>
            </w:pPr>
            <w:r>
              <w:t>В рамках данного мероприятия предусматривается предоставление субсидий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type="dxa" w:w="2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C020000">
            <w:pPr>
              <w:ind/>
              <w:jc w:val="center"/>
            </w:pPr>
            <w:r>
              <w:t xml:space="preserve">Реализация основного мероприятия обеспечивает достижение показателя </w:t>
            </w:r>
            <w:r>
              <w:t>7</w:t>
            </w:r>
            <w:r>
              <w:t xml:space="preserve">, указанного в приложении № 1 к </w:t>
            </w:r>
            <w:r>
              <w:t xml:space="preserve">муниципальной </w:t>
            </w:r>
            <w:r>
              <w:t>программе</w:t>
            </w:r>
          </w:p>
          <w:p w14:paraId="FD020000">
            <w:pPr>
              <w:ind/>
              <w:jc w:val="center"/>
            </w:pPr>
          </w:p>
        </w:tc>
      </w:tr>
      <w:tr>
        <w:tc>
          <w:tcPr>
            <w:tcW w:type="dxa" w:w="6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E020000">
            <w:pPr>
              <w:rPr>
                <w:sz w:val="28"/>
              </w:rPr>
            </w:pP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F020000">
            <w:r>
              <w:t>Основное мероприятие  3.4 «Развитие инженерной инфраструктуры на сельских территориях»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0030000">
            <w:r>
              <w:t>Администрация Горшеченского района Курской области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1030000">
            <w:pPr>
              <w:ind/>
              <w:jc w:val="center"/>
            </w:pPr>
            <w:r>
              <w:t>2020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2030000">
            <w:pPr>
              <w:ind/>
              <w:jc w:val="center"/>
            </w:pPr>
            <w:r>
              <w:t>2021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3030000">
            <w:pPr>
              <w:ind/>
              <w:jc w:val="both"/>
            </w:pPr>
            <w:r>
              <w:t>ввести в действие объекты инженерного обустройства:</w:t>
            </w:r>
          </w:p>
          <w:p w14:paraId="04030000">
            <w:pPr>
              <w:ind/>
              <w:jc w:val="both"/>
            </w:pPr>
            <w:r>
              <w:t xml:space="preserve">распределительных </w:t>
            </w:r>
            <w:r>
              <w:t>локальных водопроводов – 4,831</w:t>
            </w:r>
            <w:r>
              <w:t xml:space="preserve"> км.;</w:t>
            </w:r>
          </w:p>
          <w:p w14:paraId="05030000">
            <w:pPr>
              <w:ind/>
              <w:jc w:val="both"/>
            </w:pPr>
          </w:p>
        </w:tc>
        <w:tc>
          <w:tcPr>
            <w:tcW w:type="dxa" w:w="2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6030000">
            <w:pPr>
              <w:ind/>
              <w:jc w:val="center"/>
            </w:pPr>
            <w:r>
              <w:t>Указанное мероприятие предусматривает предоставление субсидий по следующим направлениям:</w:t>
            </w:r>
          </w:p>
          <w:p w14:paraId="07030000">
            <w:pPr>
              <w:ind/>
              <w:jc w:val="center"/>
            </w:pPr>
            <w:r>
              <w:t>а) развитие газификации (распределительные газовые сети) и водоснабжения (локальные водопроводы) на сельских территориях;</w:t>
            </w:r>
          </w:p>
          <w:p w14:paraId="08030000">
            <w:pPr>
              <w:ind/>
              <w:jc w:val="center"/>
            </w:pPr>
            <w:r>
              <w:t>б) реализация проектов комплексного обустройства площадок под компактную жилищную застройку на сельских территориях, предусматривающих:</w:t>
            </w:r>
          </w:p>
          <w:p w14:paraId="09030000">
            <w:pPr>
              <w:ind w:firstLine="540" w:left="0"/>
              <w:jc w:val="both"/>
            </w:pPr>
            <w:r>
              <w:t>инженерную подготовку площадки под компактную жилищную застройку;</w:t>
            </w:r>
          </w:p>
          <w:p w14:paraId="0A030000">
            <w:pPr>
              <w:ind/>
              <w:jc w:val="center"/>
            </w:pPr>
            <w:r>
              <w:t>строительство и реконструкцию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 и площадки);</w:t>
            </w:r>
          </w:p>
          <w:p w14:paraId="0B030000">
            <w:pPr>
              <w:ind/>
              <w:jc w:val="center"/>
            </w:pPr>
            <w:r>
              <w:t>обеспечение уличного освещения, строительство улично-дорожной сети, а также благоустройство (в том числе озеленение)</w:t>
            </w:r>
          </w:p>
        </w:tc>
        <w:tc>
          <w:tcPr>
            <w:tcW w:type="dxa" w:w="2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C030000">
            <w:pPr>
              <w:ind/>
              <w:jc w:val="center"/>
            </w:pPr>
            <w:r>
              <w:t xml:space="preserve">Реализация основного мероприятия обеспечивает достижение показателей </w:t>
            </w:r>
            <w:r>
              <w:t>8</w:t>
            </w:r>
            <w:r>
              <w:t>,</w:t>
            </w:r>
            <w:r>
              <w:t>9</w:t>
            </w:r>
            <w:r>
              <w:t xml:space="preserve">,  указанных в приложении № 1 к </w:t>
            </w:r>
            <w:r>
              <w:t>муниципальной</w:t>
            </w:r>
            <w:r>
              <w:t xml:space="preserve"> программе</w:t>
            </w:r>
          </w:p>
          <w:p w14:paraId="0D030000">
            <w:pPr>
              <w:ind/>
              <w:jc w:val="center"/>
            </w:pPr>
          </w:p>
        </w:tc>
      </w:tr>
    </w:tbl>
    <w:p w14:paraId="0E030000">
      <w:pPr>
        <w:ind/>
        <w:jc w:val="right"/>
        <w:outlineLvl w:val="0"/>
        <w:rPr>
          <w:sz w:val="28"/>
        </w:rPr>
      </w:pPr>
    </w:p>
    <w:p w14:paraId="0F030000">
      <w:pPr>
        <w:ind/>
        <w:jc w:val="right"/>
        <w:outlineLvl w:val="0"/>
        <w:rPr>
          <w:sz w:val="28"/>
        </w:rPr>
      </w:pPr>
    </w:p>
    <w:p w14:paraId="10030000">
      <w:pPr>
        <w:ind/>
        <w:jc w:val="right"/>
        <w:outlineLvl w:val="0"/>
        <w:rPr>
          <w:sz w:val="28"/>
        </w:rPr>
      </w:pPr>
    </w:p>
    <w:p w14:paraId="11030000">
      <w:pPr>
        <w:ind/>
        <w:jc w:val="right"/>
        <w:outlineLvl w:val="0"/>
        <w:rPr>
          <w:sz w:val="28"/>
        </w:rPr>
      </w:pPr>
    </w:p>
    <w:p w14:paraId="12030000"/>
    <w:p w14:paraId="13030000">
      <w:pPr>
        <w:ind/>
        <w:jc w:val="right"/>
        <w:rPr>
          <w:sz w:val="28"/>
        </w:rPr>
      </w:pPr>
    </w:p>
    <w:p w14:paraId="14030000">
      <w:pPr>
        <w:ind/>
        <w:jc w:val="right"/>
        <w:rPr>
          <w:sz w:val="28"/>
        </w:rPr>
      </w:pPr>
    </w:p>
    <w:p w14:paraId="15030000">
      <w:pPr>
        <w:ind/>
        <w:jc w:val="right"/>
        <w:rPr>
          <w:sz w:val="28"/>
        </w:rPr>
      </w:pPr>
    </w:p>
    <w:p w14:paraId="16030000">
      <w:pPr>
        <w:ind/>
        <w:jc w:val="right"/>
        <w:rPr>
          <w:sz w:val="28"/>
        </w:rPr>
      </w:pPr>
    </w:p>
    <w:p w14:paraId="17030000">
      <w:pPr>
        <w:ind/>
        <w:jc w:val="right"/>
        <w:rPr>
          <w:sz w:val="28"/>
        </w:rPr>
      </w:pPr>
    </w:p>
    <w:p w14:paraId="18030000">
      <w:pPr>
        <w:ind/>
        <w:jc w:val="right"/>
        <w:rPr>
          <w:sz w:val="28"/>
        </w:rPr>
      </w:pPr>
    </w:p>
    <w:p w14:paraId="19030000">
      <w:pPr>
        <w:ind/>
        <w:jc w:val="right"/>
        <w:rPr>
          <w:sz w:val="28"/>
        </w:rPr>
      </w:pPr>
    </w:p>
    <w:p w14:paraId="1A030000">
      <w:pPr>
        <w:ind/>
        <w:jc w:val="right"/>
        <w:rPr>
          <w:sz w:val="28"/>
        </w:rPr>
      </w:pPr>
    </w:p>
    <w:p w14:paraId="1B030000">
      <w:pPr>
        <w:ind/>
        <w:jc w:val="right"/>
        <w:rPr>
          <w:sz w:val="28"/>
        </w:rPr>
      </w:pPr>
    </w:p>
    <w:p w14:paraId="1C030000">
      <w:pPr>
        <w:ind/>
        <w:jc w:val="right"/>
        <w:rPr>
          <w:sz w:val="28"/>
        </w:rPr>
      </w:pPr>
    </w:p>
    <w:p w14:paraId="1D030000">
      <w:pPr>
        <w:ind/>
        <w:jc w:val="right"/>
        <w:rPr>
          <w:sz w:val="28"/>
        </w:rPr>
      </w:pPr>
    </w:p>
    <w:p w14:paraId="1E030000">
      <w:pPr>
        <w:ind/>
        <w:jc w:val="right"/>
        <w:rPr>
          <w:sz w:val="28"/>
        </w:rPr>
      </w:pPr>
    </w:p>
    <w:p w14:paraId="1F030000">
      <w:pPr>
        <w:ind/>
        <w:jc w:val="right"/>
        <w:rPr>
          <w:sz w:val="28"/>
        </w:rPr>
      </w:pPr>
    </w:p>
    <w:p w14:paraId="20030000">
      <w:pPr>
        <w:ind/>
        <w:jc w:val="right"/>
        <w:rPr>
          <w:sz w:val="28"/>
        </w:rPr>
      </w:pPr>
    </w:p>
    <w:p w14:paraId="21030000">
      <w:pPr>
        <w:ind/>
        <w:jc w:val="right"/>
        <w:rPr>
          <w:sz w:val="28"/>
        </w:rPr>
      </w:pPr>
    </w:p>
    <w:p w14:paraId="22030000">
      <w:pPr>
        <w:ind/>
        <w:jc w:val="right"/>
        <w:rPr>
          <w:sz w:val="28"/>
        </w:rPr>
      </w:pPr>
    </w:p>
    <w:p w14:paraId="23030000">
      <w:pPr>
        <w:ind/>
        <w:jc w:val="right"/>
        <w:rPr>
          <w:sz w:val="28"/>
        </w:rPr>
      </w:pPr>
    </w:p>
    <w:p w14:paraId="24030000">
      <w:pPr>
        <w:ind/>
        <w:jc w:val="right"/>
        <w:rPr>
          <w:sz w:val="28"/>
        </w:rPr>
      </w:pPr>
    </w:p>
    <w:p w14:paraId="25030000">
      <w:pPr>
        <w:ind/>
        <w:jc w:val="right"/>
        <w:rPr>
          <w:sz w:val="28"/>
        </w:rPr>
      </w:pPr>
    </w:p>
    <w:p w14:paraId="26030000">
      <w:pPr>
        <w:ind/>
        <w:jc w:val="right"/>
        <w:rPr>
          <w:sz w:val="28"/>
        </w:rPr>
      </w:pPr>
    </w:p>
    <w:p w14:paraId="27030000">
      <w:pPr>
        <w:ind/>
        <w:jc w:val="right"/>
        <w:rPr>
          <w:sz w:val="28"/>
        </w:rPr>
      </w:pPr>
      <w:r>
        <w:rPr>
          <w:sz w:val="28"/>
        </w:rPr>
        <w:t>Приложение № 4</w:t>
      </w:r>
    </w:p>
    <w:p w14:paraId="28030000">
      <w:pPr>
        <w:ind w:firstLine="0" w:left="8931" w:right="-255"/>
        <w:jc w:val="right"/>
        <w:rPr>
          <w:sz w:val="28"/>
        </w:rPr>
      </w:pPr>
      <w:r>
        <w:rPr>
          <w:sz w:val="28"/>
        </w:rPr>
        <w:t>к муниципальной программе Горшеченского района Курской области «Комплексное развитие сельских территорий Горшеченского района Курской области"</w:t>
      </w:r>
    </w:p>
    <w:p w14:paraId="2903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РЕСУРСНОЕ ОБЕСПЕЧЕНИЕ И ПРОГНОЗНАЯ (СПРАВОЧНАЯ) ОЦЕНКА</w:t>
      </w:r>
    </w:p>
    <w:p w14:paraId="2A03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РАСХОДОВ ФЕДЕРАЛЬНОГО БЮДЖЕТА, ОБЛАСТНОГО БЮДЖЕТА, </w:t>
      </w:r>
      <w:r>
        <w:rPr>
          <w:b w:val="1"/>
          <w:sz w:val="28"/>
        </w:rPr>
        <w:t>МЕСТНОГО БЮДЖЕТА</w:t>
      </w:r>
    </w:p>
    <w:p w14:paraId="2B03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И ВНЕБЮДЖЕТНЫХ ИСТОЧНИКОВ НА РЕАЛИЗАЦИЮ ЦЕЛЕЙ</w:t>
      </w:r>
      <w:r>
        <w:rPr>
          <w:b w:val="1"/>
          <w:sz w:val="28"/>
        </w:rPr>
        <w:t xml:space="preserve"> МУНИЦИПАЛЬНОЙ ПРОГРАММЫ ГОРШЕЧЕНСКОГО РАЙОНА КУРСКОЙ ОБЛАСТИ «</w:t>
      </w:r>
      <w:r>
        <w:rPr>
          <w:b w:val="1"/>
          <w:sz w:val="28"/>
        </w:rPr>
        <w:t>КОМПЛЕКСНОЕ РАЗВИТИЕ СЕЛЬСКИХ ТЕРРИТОРИЙ  ГОРШЕЧЕНСКОГО РАЙОНА КУРСКОЙ ОБЛАСТИ</w:t>
      </w:r>
      <w:r>
        <w:rPr>
          <w:b w:val="1"/>
          <w:sz w:val="28"/>
        </w:rPr>
        <w:t>»</w:t>
      </w:r>
    </w:p>
    <w:p w14:paraId="2C030000">
      <w:pPr>
        <w:ind/>
        <w:jc w:val="center"/>
        <w:rPr>
          <w:b w:val="1"/>
          <w:sz w:val="22"/>
        </w:rPr>
      </w:pPr>
    </w:p>
    <w:tbl>
      <w:tblPr>
        <w:tblStyle w:val="Style_4"/>
        <w:tblW w:type="auto" w:w="0"/>
        <w:tblInd w:type="dxa" w:w="-5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1673"/>
        <w:gridCol w:w="2126"/>
        <w:gridCol w:w="1417"/>
        <w:gridCol w:w="1276"/>
        <w:gridCol w:w="1276"/>
        <w:gridCol w:w="1135"/>
        <w:gridCol w:w="1276"/>
        <w:gridCol w:w="1275"/>
        <w:gridCol w:w="1276"/>
        <w:gridCol w:w="1417"/>
        <w:gridCol w:w="1276"/>
        <w:gridCol w:w="18"/>
      </w:tblGrid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2D030000">
            <w:pPr>
              <w:ind/>
              <w:jc w:val="center"/>
            </w:pPr>
            <w:r>
              <w:t>Статус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2E030000">
            <w:pPr>
              <w:ind/>
              <w:jc w:val="center"/>
            </w:pPr>
            <w: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2F030000">
            <w:pPr>
              <w:ind/>
              <w:jc w:val="center"/>
            </w:pPr>
            <w:r>
              <w:t>Источники ресурсного обеспечения</w:t>
            </w:r>
          </w:p>
        </w:tc>
        <w:tc>
          <w:tcPr>
            <w:tcW w:type="dxa" w:w="1020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0030000">
            <w:pPr>
              <w:ind/>
              <w:jc w:val="center"/>
            </w:pPr>
            <w:r>
              <w:t>Оценка расходов (руб.), годы</w:t>
            </w:r>
          </w:p>
        </w:tc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9030000">
            <w:pPr>
              <w:ind/>
              <w:jc w:val="center"/>
            </w:pPr>
            <w: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A03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B030000">
            <w:pPr>
              <w:ind/>
              <w:jc w:val="center"/>
            </w:pPr>
            <w: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</w:tr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4030000">
            <w:pPr>
              <w:ind/>
              <w:outlineLvl w:val="1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Муниципальная</w:t>
            </w:r>
            <w:r>
              <w:rPr>
                <w:b w:val="1"/>
                <w:sz w:val="22"/>
              </w:rPr>
              <w:t xml:space="preserve"> программа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503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«Комплексное развитие сельских территорий</w:t>
            </w:r>
            <w:r>
              <w:rPr>
                <w:b w:val="1"/>
                <w:sz w:val="22"/>
              </w:rPr>
              <w:t xml:space="preserve"> Горшеченского района</w:t>
            </w:r>
            <w:r>
              <w:rPr>
                <w:b w:val="1"/>
                <w:sz w:val="22"/>
              </w:rPr>
              <w:t xml:space="preserve">   Курской области»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6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5 964 480,16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5 045 768,62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344 666,66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50 056 586,80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2 042 476,46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F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2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3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40 687 800,00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58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5 626 230,16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4 854 868,62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830 404,00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61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местные бюджеты</w:t>
            </w:r>
          </w:p>
          <w:p w14:paraId="62030000">
            <w:pPr>
              <w:ind/>
              <w:jc w:val="center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/</w:t>
            </w:r>
          </w:p>
          <w:p w14:paraId="63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 xml:space="preserve"> внебюджетные средства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338 250,00</w:t>
            </w:r>
          </w:p>
          <w:p w14:paraId="6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6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190 900,00</w:t>
            </w:r>
          </w:p>
          <w:p w14:paraId="6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6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344 666,66</w:t>
            </w:r>
          </w:p>
          <w:p w14:paraId="6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6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3 703 574,80</w:t>
            </w:r>
          </w:p>
          <w:p w14:paraId="6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6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4 834 808,00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2 042 476,46</w:t>
            </w:r>
          </w:p>
          <w:p w14:paraId="7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72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3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7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7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7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7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7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7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C030000">
            <w:pPr>
              <w:ind/>
              <w:outlineLvl w:val="1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Подпрограмма 3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D030000">
            <w:pPr>
              <w:pStyle w:val="Style_9"/>
              <w:ind/>
              <w:jc w:val="both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 «Создание и развитие инфраструктуры на сельских территориях»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E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5 964 480,16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5 045 768,62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344 666,66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2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50 056 586,80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3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2 042 476,46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7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40 687 800,00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0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5 626 230,16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2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4 854 868,62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3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830 404,00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9030000">
            <w:pPr>
              <w:ind/>
              <w:jc w:val="both"/>
              <w:rPr>
                <w:b w:val="1"/>
                <w:sz w:val="21"/>
              </w:rPr>
            </w:pPr>
            <w:r>
              <w:rPr>
                <w:b w:val="1"/>
                <w:sz w:val="21"/>
              </w:rPr>
              <w:t>местные бюджеты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338 250,00</w:t>
            </w:r>
          </w:p>
          <w:p w14:paraId="9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9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190 900,00</w:t>
            </w:r>
          </w:p>
          <w:p w14:paraId="9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9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344 666,66</w:t>
            </w:r>
          </w:p>
          <w:p w14:paraId="A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A2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3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3 703 574,80</w:t>
            </w:r>
          </w:p>
          <w:p w14:paraId="A4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A5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4 834 808,00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6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2 042 476,46</w:t>
            </w:r>
          </w:p>
          <w:p w14:paraId="A7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A8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9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AA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AB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C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AD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AE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F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1 161 537,00</w:t>
            </w:r>
          </w:p>
          <w:p w14:paraId="B0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/</w:t>
            </w:r>
          </w:p>
          <w:p w14:paraId="B103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0,00</w:t>
            </w:r>
          </w:p>
        </w:tc>
      </w:tr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2030000">
            <w:pPr>
              <w:pStyle w:val="Style_9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Основное мероприятие</w:t>
            </w:r>
          </w:p>
          <w:p w14:paraId="B3030000">
            <w:pPr>
              <w:ind/>
              <w:jc w:val="both"/>
            </w:pPr>
            <w:r>
              <w:t>мероприятие 3.1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4030000">
            <w:pPr>
              <w:ind/>
              <w:jc w:val="both"/>
            </w:pPr>
            <w:r>
              <w:t>Современный облик сельских территорий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5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48 284 341,63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2 042 476,46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</w:tc>
      </w:tr>
      <w:tr>
        <w:trPr>
          <w:trHeight w:hRule="atLeast" w:val="933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BE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40 687 800,00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599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C7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830 404,00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D0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местные бюджеты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D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D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D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D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D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D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D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D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D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D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3 703 574,80</w:t>
            </w:r>
          </w:p>
          <w:p w14:paraId="D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D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4 834 808,00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D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2 042 476,46</w:t>
            </w:r>
          </w:p>
          <w:p w14:paraId="D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D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  <w:p w14:paraId="E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E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  <w:p w14:paraId="E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E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1 161 537,00</w:t>
            </w:r>
          </w:p>
          <w:p w14:paraId="E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E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373"/>
        </w:trP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9030000">
            <w:pPr>
              <w:ind/>
              <w:jc w:val="both"/>
            </w:pPr>
            <w:r>
              <w:t>Реконструкция Болотского сельского дома культуры, расположенного по адресу: Курская область, Горшеченский район, с. Болото;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EA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31 647 180,00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E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3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26 672 200,00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348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FC03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F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544 370,00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353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05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местные бюджеты </w:t>
            </w:r>
          </w:p>
          <w:p w14:paraId="06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/ </w:t>
            </w:r>
          </w:p>
          <w:p w14:paraId="07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внебюджетные средства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1 265 890,00 </w:t>
            </w:r>
          </w:p>
          <w:p w14:paraId="0C040000">
            <w:pPr>
              <w:ind/>
              <w:jc w:val="center"/>
              <w:rPr>
                <w:sz w:val="20"/>
              </w:rPr>
            </w:pPr>
          </w:p>
          <w:p w14:paraId="0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0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3 164 720,00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0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195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3040000">
            <w:pPr>
              <w:ind/>
              <w:jc w:val="both"/>
            </w:pPr>
            <w:r>
              <w:t>Многофункциональная спортивная площадка в с. Болото Горшеченского района Курской области;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16 637 161,63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217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D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1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14 015 600,00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209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26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286 034,00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2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215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2F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местные бюджеты </w:t>
            </w:r>
          </w:p>
          <w:p w14:paraId="30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/ </w:t>
            </w:r>
          </w:p>
          <w:p w14:paraId="31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внебюджетные средства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665 489,00</w:t>
            </w:r>
          </w:p>
          <w:p w14:paraId="3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3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1 670 038,00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318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C040000">
            <w:pPr>
              <w:ind/>
              <w:jc w:val="both"/>
            </w:pPr>
            <w:r>
              <w:t>Фельдшерско-акушерский пункт в с. Болото Горшеченского района Курской области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3D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3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198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6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4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262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4F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rPr>
          <w:trHeight w:hRule="atLeast" w:val="254"/>
        </w:trP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58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местные бюджеты </w:t>
            </w:r>
          </w:p>
          <w:p w14:paraId="59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 xml:space="preserve">/  </w:t>
            </w:r>
          </w:p>
          <w:p w14:paraId="5A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внебюджетные средства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5E040000">
            <w:pPr>
              <w:ind/>
              <w:jc w:val="center"/>
              <w:rPr>
                <w:sz w:val="20"/>
              </w:rPr>
            </w:pPr>
          </w:p>
          <w:p w14:paraId="5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  <w:p w14:paraId="6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6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66040000">
            <w:pPr>
              <w:pStyle w:val="Style_9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Основное мероприятие</w:t>
            </w:r>
          </w:p>
          <w:p w14:paraId="67040000">
            <w:pPr>
              <w:ind/>
              <w:jc w:val="both"/>
            </w:pPr>
            <w:r>
              <w:t>мероприятие 3.2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68040000">
            <w:pPr>
              <w:ind/>
              <w:jc w:val="both"/>
            </w:pPr>
            <w:r>
              <w:t>Развитие транспортной инфраструктуры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69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6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2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7B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7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4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местные бюджеты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8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D040000">
            <w:pPr>
              <w:pStyle w:val="Style_9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Основное мероприятие</w:t>
            </w:r>
          </w:p>
          <w:p w14:paraId="8E04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 3.4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8F04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инженерной инфраструктуры на сельских территориях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0040000">
            <w:pPr>
              <w:ind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5 964 480,16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5 045 768,62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344 666,66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99040000">
            <w:pPr>
              <w:ind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федеральный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9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2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областной бюджет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5 626 230,16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4 854 868,62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AB040000">
            <w:pPr>
              <w:ind/>
              <w:jc w:val="both"/>
              <w:rPr>
                <w:sz w:val="21"/>
              </w:rPr>
            </w:pPr>
            <w:r>
              <w:rPr>
                <w:sz w:val="21"/>
              </w:rPr>
              <w:t>местные бюджеты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338 250,00</w:t>
            </w:r>
          </w:p>
          <w:p w14:paraId="A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A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A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190 900,00</w:t>
            </w:r>
          </w:p>
          <w:p w14:paraId="B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B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344 666,66</w:t>
            </w:r>
          </w:p>
          <w:p w14:paraId="B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B4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5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1 772 245,17</w:t>
            </w:r>
          </w:p>
          <w:p w14:paraId="B6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B7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8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B9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BA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B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BC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BD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BE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BF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C0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type="dxa" w:w="12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  <w:vAlign w:val="center"/>
          </w:tcPr>
          <w:p w14:paraId="C1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C2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  <w:p w14:paraId="C304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C4040000">
      <w:pPr>
        <w:rPr>
          <w:sz w:val="28"/>
        </w:rPr>
      </w:pPr>
    </w:p>
    <w:sectPr>
      <w:headerReference r:id="rId9" w:type="default"/>
      <w:headerReference r:id="rId11" w:type="even"/>
      <w:footerReference r:id="rId10" w:type="default"/>
      <w:footerReference r:id="rId12" w:type="even"/>
      <w:pgSz w:h="11907" w:orient="landscape" w:w="16840"/>
      <w:pgMar w:bottom="426" w:footer="720" w:gutter="0" w:header="720" w:left="1134" w:right="1077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ind/>
      <w:jc w:val="right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2"/>
      <w:ind/>
      <w:jc w:val="right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12000000">
    <w:pPr>
      <w:pStyle w:val="Style_2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 w:right="360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ind/>
      <w:jc w:val="right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6000000">
    <w:pPr>
      <w:pStyle w:val="Style_2"/>
      <w:ind w:right="360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ind/>
      <w:jc w:val="right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A000000">
    <w:pPr>
      <w:pStyle w:val="Style_2"/>
      <w:ind w:right="360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ind/>
      <w:jc w:val="right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ind/>
      <w:jc w:val="center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10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8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leader="none" w:pos="960" w:val="left"/>
        </w:tabs>
        <w:ind w:hanging="420" w:left="960"/>
      </w:pPr>
    </w:lvl>
    <w:lvl w:ilvl="2">
      <w:start w:val="1"/>
      <w:numFmt w:val="decimal"/>
      <w:lvlText w:val="%1.%2.%3"/>
      <w:lvlJc w:val="left"/>
      <w:pPr>
        <w:tabs>
          <w:tab w:leader="none" w:pos="1080" w:val="left"/>
        </w:tabs>
        <w:ind w:hanging="720" w:left="1080"/>
      </w:pPr>
    </w:lvl>
    <w:lvl w:ilvl="3">
      <w:start w:val="1"/>
      <w:numFmt w:val="decimal"/>
      <w:lvlText w:val="%1.%2.%3.%4"/>
      <w:lvlJc w:val="left"/>
      <w:pPr>
        <w:tabs>
          <w:tab w:leader="none" w:pos="1440" w:val="left"/>
        </w:tabs>
        <w:ind w:hanging="1080" w:left="1440"/>
      </w:pPr>
    </w:lvl>
    <w:lvl w:ilvl="4">
      <w:start w:val="1"/>
      <w:numFmt w:val="decimal"/>
      <w:lvlText w:val="%1.%2.%3.%4.%5"/>
      <w:lvlJc w:val="left"/>
      <w:pPr>
        <w:tabs>
          <w:tab w:leader="none" w:pos="1440" w:val="left"/>
        </w:tabs>
        <w:ind w:hanging="1080" w:left="1440"/>
      </w:pPr>
    </w:lvl>
    <w:lvl w:ilvl="5">
      <w:start w:val="1"/>
      <w:numFmt w:val="decimal"/>
      <w:lvlText w:val="%1.%2.%3.%4.%5.%6"/>
      <w:lvlJc w:val="left"/>
      <w:pPr>
        <w:tabs>
          <w:tab w:leader="none" w:pos="1800" w:val="left"/>
        </w:tabs>
        <w:ind w:hanging="1440" w:left="1800"/>
      </w:pPr>
    </w:lvl>
    <w:lvl w:ilvl="6">
      <w:start w:val="1"/>
      <w:numFmt w:val="decimal"/>
      <w:lvlText w:val="%1.%2.%3.%4.%5.%6.%7"/>
      <w:lvlJc w:val="left"/>
      <w:pPr>
        <w:tabs>
          <w:tab w:leader="none" w:pos="1800" w:val="left"/>
        </w:tabs>
        <w:ind w:hanging="1440" w:left="1800"/>
      </w:pPr>
    </w:lvl>
    <w:lvl w:ilvl="7">
      <w:start w:val="1"/>
      <w:numFmt w:val="decimal"/>
      <w:lvlText w:val="%1.%2.%3.%4.%5.%6.%7.%8"/>
      <w:lvlJc w:val="left"/>
      <w:pPr>
        <w:tabs>
          <w:tab w:leader="none" w:pos="2160" w:val="left"/>
        </w:tabs>
        <w:ind w:hanging="1800" w:left="2160"/>
      </w:pPr>
    </w:lvl>
    <w:lvl w:ilvl="8">
      <w:start w:val="1"/>
      <w:numFmt w:val="decimal"/>
      <w:lvlText w:val="%1.%2.%3.%4.%5.%6.%7.%8.%9"/>
      <w:lvlJc w:val="left"/>
      <w:pPr>
        <w:tabs>
          <w:tab w:leader="none" w:pos="2520" w:val="left"/>
        </w:tabs>
        <w:ind w:hanging="2160" w:left="25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0"/>
      <w:numFmt w:val="bullet"/>
      <w:lvlText w:val="-"/>
      <w:lvlJc w:val="left"/>
      <w:pPr>
        <w:tabs>
          <w:tab w:leader="none" w:pos="360" w:val="left"/>
        </w:tabs>
        <w:ind w:hanging="360" w:left="360"/>
      </w:pPr>
      <w:rPr>
        <w:b w:val="0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133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5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7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9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21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93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5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7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95"/>
      </w:pPr>
      <w:rPr>
        <w:rFonts w:ascii="Wingdings" w:hAnsi="Wingdings"/>
      </w:rPr>
    </w:lvl>
  </w:abstractNum>
  <w:abstractNum w:abstractNumId="4">
    <w:lvl w:ilvl="0">
      <w:start w:val="1"/>
      <w:numFmt w:val="upperRoman"/>
      <w:pStyle w:val="Style_14"/>
      <w:lvlText w:val="%1."/>
      <w:lvlJc w:val="left"/>
      <w:pPr>
        <w:tabs>
          <w:tab w:leader="none" w:pos="1835" w:val="left"/>
        </w:tabs>
        <w:ind w:hanging="1125" w:left="1835"/>
      </w:pPr>
    </w:lvl>
    <w:lvl w:ilvl="1">
      <w:start w:val="1"/>
      <w:numFmt w:val="decimal"/>
      <w:lvlText w:val="%1.%2."/>
      <w:lvlJc w:val="left"/>
      <w:pPr>
        <w:ind w:hanging="720" w:left="1430"/>
      </w:pPr>
    </w:lvl>
    <w:lvl w:ilvl="2">
      <w:start w:val="1"/>
      <w:numFmt w:val="decimal"/>
      <w:lvlText w:val="%1.%2.%3."/>
      <w:lvlJc w:val="left"/>
      <w:pPr>
        <w:ind w:hanging="720" w:left="1430"/>
      </w:pPr>
    </w:lvl>
    <w:lvl w:ilvl="3">
      <w:start w:val="1"/>
      <w:numFmt w:val="decimal"/>
      <w:lvlText w:val="%1.%2.%3.%4."/>
      <w:lvlJc w:val="left"/>
      <w:pPr>
        <w:ind w:hanging="1080" w:left="1790"/>
      </w:pPr>
    </w:lvl>
    <w:lvl w:ilvl="4">
      <w:start w:val="1"/>
      <w:numFmt w:val="decimal"/>
      <w:lvlText w:val="%1.%2.%3.%4.%5."/>
      <w:lvlJc w:val="left"/>
      <w:pPr>
        <w:ind w:hanging="1080" w:left="1790"/>
      </w:pPr>
    </w:lvl>
    <w:lvl w:ilvl="5">
      <w:start w:val="1"/>
      <w:numFmt w:val="decimal"/>
      <w:lvlText w:val="%1.%2.%3.%4.%5.%6."/>
      <w:lvlJc w:val="left"/>
      <w:pPr>
        <w:ind w:hanging="1440" w:left="2150"/>
      </w:pPr>
    </w:lvl>
    <w:lvl w:ilvl="6">
      <w:start w:val="1"/>
      <w:numFmt w:val="decimal"/>
      <w:lvlText w:val="%1.%2.%3.%4.%5.%6.%7."/>
      <w:lvlJc w:val="left"/>
      <w:pPr>
        <w:ind w:hanging="1800" w:left="2510"/>
      </w:pPr>
    </w:lvl>
    <w:lvl w:ilvl="7">
      <w:start w:val="1"/>
      <w:numFmt w:val="decimal"/>
      <w:lvlText w:val="%1.%2.%3.%4.%5.%6.%7.%8."/>
      <w:lvlJc w:val="left"/>
      <w:pPr>
        <w:ind w:hanging="1800" w:left="2510"/>
      </w:pPr>
    </w:lvl>
    <w:lvl w:ilvl="8">
      <w:start w:val="1"/>
      <w:numFmt w:val="decimal"/>
      <w:lvlText w:val="%1.%2.%3.%4.%5.%6.%7.%8.%9."/>
      <w:lvlJc w:val="left"/>
      <w:pPr>
        <w:ind w:hanging="2160" w:left="2870"/>
      </w:pPr>
    </w:lvl>
  </w:abstractNum>
  <w:abstractNum w:abstractNumId="5">
    <w:lvl w:ilvl="0">
      <w:start w:val="1"/>
      <w:numFmt w:val="bullet"/>
      <w:pStyle w:val="Style_34"/>
      <w:lvlText w:val=""/>
      <w:lvlJc w:val="left"/>
      <w:pPr>
        <w:tabs>
          <w:tab w:leader="none" w:pos="643" w:val="left"/>
        </w:tabs>
        <w:ind w:hanging="360" w:left="643"/>
      </w:pPr>
      <w:rPr>
        <w:rFonts w:ascii="Symbol" w:hAnsi="Symbol"/>
      </w:rPr>
    </w:lvl>
  </w:abstractNum>
  <w:abstractNum w:abstractNumId="6">
    <w:lvl w:ilvl="0">
      <w:start w:val="1"/>
      <w:numFmt w:val="upperRoman"/>
      <w:pStyle w:val="Style_40"/>
      <w:lvlText w:val="%1."/>
      <w:lvlJc w:val="left"/>
      <w:pPr>
        <w:tabs>
          <w:tab w:leader="none" w:pos="720" w:val="left"/>
        </w:tabs>
        <w:ind w:hanging="720" w:left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5" w:type="paragraph">
    <w:name w:val="Normal"/>
    <w:link w:val="Style_15_ch"/>
    <w:uiPriority w:val="0"/>
    <w:qFormat/>
    <w:rPr>
      <w:sz w:val="24"/>
    </w:rPr>
  </w:style>
  <w:style w:default="1" w:styleId="Style_15_ch" w:type="character">
    <w:name w:val="Normal"/>
    <w:link w:val="Style_15"/>
    <w:rPr>
      <w:sz w:val="24"/>
    </w:rPr>
  </w:style>
  <w:style w:styleId="Style_16" w:type="paragraph">
    <w:name w:val="toc 2"/>
    <w:next w:val="Style_15"/>
    <w:link w:val="Style_1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toc 4"/>
    <w:next w:val="Style_15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8" w:type="paragraph">
    <w:name w:val="Body Text Indent"/>
    <w:basedOn w:val="Style_15"/>
    <w:link w:val="Style_18_ch"/>
    <w:pPr>
      <w:ind w:firstLine="709" w:left="0"/>
      <w:jc w:val="both"/>
    </w:pPr>
    <w:rPr>
      <w:sz w:val="28"/>
    </w:rPr>
  </w:style>
  <w:style w:styleId="Style_18_ch" w:type="character">
    <w:name w:val="Body Text Indent"/>
    <w:basedOn w:val="Style_15_ch"/>
    <w:link w:val="Style_18"/>
    <w:rPr>
      <w:sz w:val="28"/>
    </w:rPr>
  </w:style>
  <w:style w:styleId="Style_19" w:type="paragraph">
    <w:name w:val="heading 7"/>
    <w:basedOn w:val="Style_15"/>
    <w:next w:val="Style_15"/>
    <w:link w:val="Style_19_ch"/>
    <w:uiPriority w:val="9"/>
    <w:qFormat/>
    <w:pPr>
      <w:keepNext w:val="1"/>
      <w:ind/>
      <w:jc w:val="both"/>
      <w:outlineLvl w:val="6"/>
    </w:pPr>
    <w:rPr>
      <w:b w:val="1"/>
    </w:rPr>
  </w:style>
  <w:style w:styleId="Style_19_ch" w:type="character">
    <w:name w:val="heading 7"/>
    <w:basedOn w:val="Style_15_ch"/>
    <w:link w:val="Style_19"/>
    <w:rPr>
      <w:b w:val="1"/>
    </w:rPr>
  </w:style>
  <w:style w:styleId="Style_20" w:type="paragraph">
    <w:name w:val="toc 6"/>
    <w:next w:val="Style_15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toc 7"/>
    <w:next w:val="Style_15"/>
    <w:link w:val="Style_2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annotation text"/>
    <w:basedOn w:val="Style_15"/>
    <w:link w:val="Style_22_ch"/>
    <w:rPr>
      <w:sz w:val="20"/>
    </w:rPr>
  </w:style>
  <w:style w:styleId="Style_22_ch" w:type="character">
    <w:name w:val="annotation text"/>
    <w:basedOn w:val="Style_15_ch"/>
    <w:link w:val="Style_22"/>
    <w:rPr>
      <w:sz w:val="20"/>
    </w:rPr>
  </w:style>
  <w:style w:styleId="Style_23" w:type="paragraph">
    <w:name w:val="End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15"/>
    <w:next w:val="Style_15"/>
    <w:link w:val="Style_24_ch"/>
    <w:uiPriority w:val="9"/>
    <w:qFormat/>
    <w:pPr>
      <w:keepNext w:val="1"/>
      <w:numPr>
        <w:ilvl w:val="0"/>
        <w:numId w:val="5"/>
      </w:numPr>
      <w:tabs>
        <w:tab w:leader="none" w:pos="0" w:val="left"/>
        <w:tab w:leader="none" w:pos="1485" w:val="clear"/>
      </w:tabs>
      <w:ind w:firstLine="0" w:left="0"/>
      <w:jc w:val="center"/>
      <w:outlineLvl w:val="2"/>
    </w:pPr>
    <w:rPr>
      <w:b w:val="1"/>
      <w:sz w:val="32"/>
    </w:rPr>
  </w:style>
  <w:style w:styleId="Style_24_ch" w:type="character">
    <w:name w:val="heading 3"/>
    <w:basedOn w:val="Style_15_ch"/>
    <w:link w:val="Style_24"/>
    <w:rPr>
      <w:b w:val="1"/>
      <w:sz w:val="32"/>
    </w:rPr>
  </w:style>
  <w:style w:styleId="Style_25" w:type="paragraph">
    <w:name w:val=" Знак Знак"/>
    <w:link w:val="Style_25_ch"/>
    <w:rPr>
      <w:sz w:val="28"/>
    </w:rPr>
  </w:style>
  <w:style w:styleId="Style_25_ch" w:type="character">
    <w:name w:val=" Знак Знак"/>
    <w:link w:val="Style_25"/>
    <w:rPr>
      <w:sz w:val="28"/>
    </w:rPr>
  </w:style>
  <w:style w:styleId="Style_3" w:type="paragraph">
    <w:name w:val="page number"/>
    <w:basedOn w:val="Style_26"/>
    <w:link w:val="Style_3_ch"/>
  </w:style>
  <w:style w:styleId="Style_3_ch" w:type="character">
    <w:name w:val="page number"/>
    <w:basedOn w:val="Style_26_ch"/>
    <w:link w:val="Style_3"/>
  </w:style>
  <w:style w:styleId="Style_27" w:type="paragraph">
    <w:name w:val="heading 9"/>
    <w:basedOn w:val="Style_15"/>
    <w:next w:val="Style_15"/>
    <w:link w:val="Style_27_ch"/>
    <w:uiPriority w:val="9"/>
    <w:qFormat/>
    <w:pPr>
      <w:keepNext w:val="1"/>
      <w:ind/>
      <w:jc w:val="center"/>
      <w:outlineLvl w:val="8"/>
    </w:pPr>
    <w:rPr>
      <w:b w:val="1"/>
    </w:rPr>
  </w:style>
  <w:style w:styleId="Style_27_ch" w:type="character">
    <w:name w:val="heading 9"/>
    <w:basedOn w:val="Style_15_ch"/>
    <w:link w:val="Style_27"/>
    <w:rPr>
      <w:b w:val="1"/>
    </w:rPr>
  </w:style>
  <w:style w:styleId="Style_5" w:type="paragraph">
    <w:name w:val="Основной текст (2)1"/>
    <w:basedOn w:val="Style_15"/>
    <w:link w:val="Style_5_ch"/>
    <w:pPr>
      <w:widowControl w:val="0"/>
      <w:spacing w:before="540" w:line="326" w:lineRule="exact"/>
      <w:ind/>
      <w:jc w:val="both"/>
    </w:pPr>
    <w:rPr>
      <w:sz w:val="28"/>
    </w:rPr>
  </w:style>
  <w:style w:styleId="Style_5_ch" w:type="character">
    <w:name w:val="Основной текст (2)1"/>
    <w:basedOn w:val="Style_15_ch"/>
    <w:link w:val="Style_5"/>
    <w:rPr>
      <w:sz w:val="28"/>
    </w:rPr>
  </w:style>
  <w:style w:styleId="Style_28" w:type="paragraph">
    <w:name w:val="Normal (Web)"/>
    <w:basedOn w:val="Style_15"/>
    <w:link w:val="Style_28_ch"/>
    <w:pPr>
      <w:spacing w:after="100" w:before="100"/>
      <w:ind/>
    </w:pPr>
  </w:style>
  <w:style w:styleId="Style_28_ch" w:type="character">
    <w:name w:val="Normal (Web)"/>
    <w:basedOn w:val="Style_15_ch"/>
    <w:link w:val="Style_28"/>
  </w:style>
  <w:style w:styleId="Style_29" w:type="paragraph">
    <w:name w:val="Balloon Text"/>
    <w:basedOn w:val="Style_15"/>
    <w:link w:val="Style_29_ch"/>
    <w:rPr>
      <w:rFonts w:ascii="Tahoma" w:hAnsi="Tahoma"/>
      <w:sz w:val="16"/>
    </w:rPr>
  </w:style>
  <w:style w:styleId="Style_29_ch" w:type="character">
    <w:name w:val="Balloon Text"/>
    <w:basedOn w:val="Style_15_ch"/>
    <w:link w:val="Style_29"/>
    <w:rPr>
      <w:rFonts w:ascii="Tahoma" w:hAnsi="Tahoma"/>
      <w:sz w:val="16"/>
    </w:rPr>
  </w:style>
  <w:style w:styleId="Style_30" w:type="paragraph">
    <w:name w:val="Body Text 2"/>
    <w:basedOn w:val="Style_15"/>
    <w:link w:val="Style_30_ch"/>
    <w:pPr>
      <w:spacing w:line="360" w:lineRule="auto"/>
      <w:ind/>
    </w:pPr>
    <w:rPr>
      <w:sz w:val="28"/>
    </w:rPr>
  </w:style>
  <w:style w:styleId="Style_30_ch" w:type="character">
    <w:name w:val="Body Text 2"/>
    <w:basedOn w:val="Style_15_ch"/>
    <w:link w:val="Style_30"/>
    <w:rPr>
      <w:sz w:val="28"/>
    </w:rPr>
  </w:style>
  <w:style w:styleId="Style_31" w:type="paragraph">
    <w:name w:val="toc 3"/>
    <w:next w:val="Style_15"/>
    <w:link w:val="Style_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32" w:type="paragraph">
    <w:name w:val="line number"/>
    <w:basedOn w:val="Style_26"/>
    <w:link w:val="Style_32_ch"/>
  </w:style>
  <w:style w:styleId="Style_32_ch" w:type="character">
    <w:name w:val="line number"/>
    <w:basedOn w:val="Style_26_ch"/>
    <w:link w:val="Style_32"/>
  </w:style>
  <w:style w:styleId="Style_33" w:type="paragraph">
    <w:name w:val="annotation reference"/>
    <w:link w:val="Style_33_ch"/>
    <w:rPr>
      <w:sz w:val="16"/>
    </w:rPr>
  </w:style>
  <w:style w:styleId="Style_33_ch" w:type="character">
    <w:name w:val="annotation reference"/>
    <w:link w:val="Style_33"/>
    <w:rPr>
      <w:sz w:val="16"/>
    </w:rPr>
  </w:style>
  <w:style w:styleId="Style_34" w:type="paragraph">
    <w:name w:val="List Bullet 2"/>
    <w:basedOn w:val="Style_15"/>
    <w:link w:val="Style_34_ch"/>
    <w:pPr>
      <w:numPr>
        <w:ilvl w:val="0"/>
        <w:numId w:val="6"/>
      </w:numPr>
    </w:pPr>
    <w:rPr>
      <w:sz w:val="20"/>
    </w:rPr>
  </w:style>
  <w:style w:styleId="Style_34_ch" w:type="character">
    <w:name w:val="List Bullet 2"/>
    <w:basedOn w:val="Style_15_ch"/>
    <w:link w:val="Style_34"/>
    <w:rPr>
      <w:sz w:val="20"/>
    </w:rPr>
  </w:style>
  <w:style w:styleId="Style_11" w:type="paragraph">
    <w:name w:val="Body Text Indent 3"/>
    <w:basedOn w:val="Style_15"/>
    <w:link w:val="Style_11_ch"/>
    <w:pPr>
      <w:spacing w:line="360" w:lineRule="auto"/>
      <w:ind w:firstLine="720" w:left="0"/>
      <w:jc w:val="both"/>
    </w:pPr>
    <w:rPr>
      <w:sz w:val="28"/>
    </w:rPr>
  </w:style>
  <w:style w:styleId="Style_11_ch" w:type="character">
    <w:name w:val="Body Text Indent 3"/>
    <w:basedOn w:val="Style_15_ch"/>
    <w:link w:val="Style_11"/>
    <w:rPr>
      <w:sz w:val="28"/>
    </w:rPr>
  </w:style>
  <w:style w:styleId="Style_35" w:type="paragraph">
    <w:name w:val="heading 5"/>
    <w:basedOn w:val="Style_15"/>
    <w:next w:val="Style_15"/>
    <w:link w:val="Style_35_ch"/>
    <w:uiPriority w:val="9"/>
    <w:qFormat/>
    <w:pPr>
      <w:keepNext w:val="1"/>
      <w:tabs>
        <w:tab w:leader="none" w:pos="0" w:val="left"/>
      </w:tabs>
      <w:ind w:firstLine="360" w:left="0"/>
      <w:jc w:val="center"/>
      <w:outlineLvl w:val="4"/>
    </w:pPr>
    <w:rPr>
      <w:b w:val="1"/>
      <w:sz w:val="28"/>
    </w:rPr>
  </w:style>
  <w:style w:styleId="Style_35_ch" w:type="character">
    <w:name w:val="heading 5"/>
    <w:basedOn w:val="Style_15_ch"/>
    <w:link w:val="Style_35"/>
    <w:rPr>
      <w:b w:val="1"/>
      <w:sz w:val="28"/>
    </w:rPr>
  </w:style>
  <w:style w:styleId="Style_36" w:type="paragraph">
    <w:name w:val="heading 1"/>
    <w:basedOn w:val="Style_15"/>
    <w:next w:val="Style_15"/>
    <w:link w:val="Style_36_ch"/>
    <w:uiPriority w:val="9"/>
    <w:qFormat/>
    <w:pPr>
      <w:keepNext w:val="1"/>
      <w:ind w:firstLine="5400" w:left="0"/>
      <w:jc w:val="right"/>
      <w:outlineLvl w:val="0"/>
    </w:pPr>
    <w:rPr>
      <w:sz w:val="28"/>
    </w:rPr>
  </w:style>
  <w:style w:styleId="Style_36_ch" w:type="character">
    <w:name w:val="heading 1"/>
    <w:basedOn w:val="Style_15_ch"/>
    <w:link w:val="Style_36"/>
    <w:rPr>
      <w:sz w:val="28"/>
    </w:rPr>
  </w:style>
  <w:style w:styleId="Style_37" w:type="paragraph">
    <w:name w:val="annotation subject"/>
    <w:basedOn w:val="Style_22"/>
    <w:next w:val="Style_22"/>
    <w:link w:val="Style_37_ch"/>
    <w:rPr>
      <w:b w:val="1"/>
    </w:rPr>
  </w:style>
  <w:style w:styleId="Style_37_ch" w:type="character">
    <w:name w:val="annotation subject"/>
    <w:basedOn w:val="Style_22_ch"/>
    <w:link w:val="Style_37"/>
    <w:rPr>
      <w:b w:val="1"/>
    </w:rPr>
  </w:style>
  <w:style w:styleId="Style_6" w:type="paragraph">
    <w:name w:val="Body Text"/>
    <w:basedOn w:val="Style_15"/>
    <w:link w:val="Style_6_ch"/>
    <w:pPr>
      <w:ind/>
      <w:jc w:val="center"/>
    </w:pPr>
    <w:rPr>
      <w:rFonts w:ascii="Arial Black" w:hAnsi="Arial Black"/>
      <w:b w:val="1"/>
      <w:sz w:val="40"/>
    </w:rPr>
  </w:style>
  <w:style w:styleId="Style_6_ch" w:type="character">
    <w:name w:val="Body Text"/>
    <w:basedOn w:val="Style_15_ch"/>
    <w:link w:val="Style_6"/>
    <w:rPr>
      <w:rFonts w:ascii="Arial Black" w:hAnsi="Arial Black"/>
      <w:b w:val="1"/>
      <w:sz w:val="40"/>
    </w:rPr>
  </w:style>
  <w:style w:styleId="Style_38" w:type="paragraph">
    <w:name w:val="Hyperlink"/>
    <w:basedOn w:val="Style_26"/>
    <w:link w:val="Style_38_ch"/>
    <w:rPr>
      <w:color w:val="0000FF"/>
      <w:u w:val="single"/>
    </w:rPr>
  </w:style>
  <w:style w:styleId="Style_38_ch" w:type="character">
    <w:name w:val="Hyperlink"/>
    <w:basedOn w:val="Style_26_ch"/>
    <w:link w:val="Style_38"/>
    <w:rPr>
      <w:color w:val="0000FF"/>
      <w:u w:val="single"/>
    </w:rPr>
  </w:style>
  <w:style w:styleId="Style_39" w:type="paragraph">
    <w:name w:val="Footnote"/>
    <w:link w:val="Style_39_ch"/>
    <w:pPr>
      <w:ind w:firstLine="851" w:left="0"/>
      <w:jc w:val="both"/>
    </w:pPr>
    <w:rPr>
      <w:rFonts w:ascii="XO Thames" w:hAnsi="XO Thames"/>
      <w:sz w:val="22"/>
    </w:rPr>
  </w:style>
  <w:style w:styleId="Style_39_ch" w:type="character">
    <w:name w:val="Footnote"/>
    <w:link w:val="Style_39"/>
    <w:rPr>
      <w:rFonts w:ascii="XO Thames" w:hAnsi="XO Thames"/>
      <w:sz w:val="22"/>
    </w:rPr>
  </w:style>
  <w:style w:styleId="Style_40" w:type="paragraph">
    <w:name w:val="heading 8"/>
    <w:basedOn w:val="Style_15"/>
    <w:next w:val="Style_15"/>
    <w:link w:val="Style_40_ch"/>
    <w:uiPriority w:val="9"/>
    <w:qFormat/>
    <w:pPr>
      <w:keepNext w:val="1"/>
      <w:numPr>
        <w:ilvl w:val="0"/>
        <w:numId w:val="7"/>
      </w:numPr>
      <w:ind/>
      <w:jc w:val="center"/>
      <w:outlineLvl w:val="7"/>
    </w:pPr>
    <w:rPr>
      <w:b w:val="1"/>
    </w:rPr>
  </w:style>
  <w:style w:styleId="Style_40_ch" w:type="character">
    <w:name w:val="heading 8"/>
    <w:basedOn w:val="Style_15_ch"/>
    <w:link w:val="Style_40"/>
    <w:rPr>
      <w:b w:val="1"/>
    </w:rPr>
  </w:style>
  <w:style w:styleId="Style_41" w:type="paragraph">
    <w:name w:val="toc 1"/>
    <w:next w:val="Style_15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Header and Footer"/>
    <w:link w:val="Style_42_ch"/>
    <w:pPr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</w:rPr>
  </w:style>
  <w:style w:styleId="Style_7_ch" w:type="character">
    <w:name w:val="ConsPlusNonformat"/>
    <w:link w:val="Style_7"/>
    <w:rPr>
      <w:rFonts w:ascii="Courier New" w:hAnsi="Courier New"/>
    </w:rPr>
  </w:style>
  <w:style w:styleId="Style_10" w:type="paragraph">
    <w:name w:val="ListLabel 14"/>
    <w:link w:val="Style_10_ch"/>
    <w:rPr>
      <w:rFonts w:ascii="Times New Roman" w:hAnsi="Times New Roman"/>
      <w:sz w:val="28"/>
    </w:rPr>
  </w:style>
  <w:style w:styleId="Style_10_ch" w:type="character">
    <w:name w:val="ListLabel 14"/>
    <w:link w:val="Style_10"/>
    <w:rPr>
      <w:rFonts w:ascii="Times New Roman" w:hAnsi="Times New Roman"/>
      <w:sz w:val="28"/>
    </w:rPr>
  </w:style>
  <w:style w:styleId="Style_2" w:type="paragraph">
    <w:name w:val="footer"/>
    <w:basedOn w:val="Style_1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15_ch"/>
    <w:link w:val="Style_2"/>
  </w:style>
  <w:style w:styleId="Style_43" w:type="paragraph">
    <w:name w:val="toc 9"/>
    <w:next w:val="Style_15"/>
    <w:link w:val="Style_4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toc 8"/>
    <w:next w:val="Style_15"/>
    <w:link w:val="Style_4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4_ch" w:type="character">
    <w:name w:val="toc 8"/>
    <w:link w:val="Style_44"/>
    <w:rPr>
      <w:rFonts w:ascii="XO Thames" w:hAnsi="XO Thames"/>
      <w:sz w:val="28"/>
    </w:rPr>
  </w:style>
  <w:style w:styleId="Style_45" w:type="paragraph">
    <w:name w:val="toc 5"/>
    <w:next w:val="Style_15"/>
    <w:link w:val="Style_4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5_ch" w:type="character">
    <w:name w:val="toc 5"/>
    <w:link w:val="Style_45"/>
    <w:rPr>
      <w:rFonts w:ascii="XO Thames" w:hAnsi="XO Thames"/>
      <w:sz w:val="28"/>
    </w:rPr>
  </w:style>
  <w:style w:styleId="Style_13" w:type="paragraph">
    <w:name w:val="Body Text Indent 2"/>
    <w:basedOn w:val="Style_15"/>
    <w:link w:val="Style_13_ch"/>
    <w:pPr>
      <w:spacing w:after="120" w:line="480" w:lineRule="auto"/>
      <w:ind w:firstLine="0" w:left="283"/>
    </w:pPr>
  </w:style>
  <w:style w:styleId="Style_13_ch" w:type="character">
    <w:name w:val="Body Text Indent 2"/>
    <w:basedOn w:val="Style_15_ch"/>
    <w:link w:val="Style_13"/>
  </w:style>
  <w:style w:styleId="Style_46" w:type="paragraph">
    <w:name w:val="Subtitle"/>
    <w:next w:val="Style_15"/>
    <w:link w:val="Style_4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Title"/>
    <w:next w:val="Style_15"/>
    <w:link w:val="Style_4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sz w:val="40"/>
    </w:rPr>
  </w:style>
  <w:style w:styleId="Style_14" w:type="paragraph">
    <w:name w:val="heading 4"/>
    <w:basedOn w:val="Style_15"/>
    <w:next w:val="Style_15"/>
    <w:link w:val="Style_14_ch"/>
    <w:uiPriority w:val="9"/>
    <w:qFormat/>
    <w:pPr>
      <w:keepNext w:val="1"/>
      <w:numPr>
        <w:ilvl w:val="0"/>
        <w:numId w:val="5"/>
      </w:numPr>
      <w:tabs>
        <w:tab w:leader="none" w:pos="0" w:val="left"/>
        <w:tab w:leader="none" w:pos="1485" w:val="clear"/>
      </w:tabs>
      <w:ind w:firstLine="0" w:left="0"/>
      <w:jc w:val="center"/>
      <w:outlineLvl w:val="3"/>
    </w:pPr>
    <w:rPr>
      <w:b w:val="1"/>
      <w:sz w:val="28"/>
    </w:rPr>
  </w:style>
  <w:style w:styleId="Style_14_ch" w:type="character">
    <w:name w:val="heading 4"/>
    <w:basedOn w:val="Style_15_ch"/>
    <w:link w:val="Style_14"/>
    <w:rPr>
      <w:b w:val="1"/>
      <w:sz w:val="28"/>
    </w:rPr>
  </w:style>
  <w:style w:styleId="Style_48" w:type="paragraph">
    <w:name w:val="Основной текст1"/>
    <w:basedOn w:val="Style_26"/>
    <w:link w:val="Style_48_ch"/>
    <w:rPr>
      <w:rFonts w:ascii="Times New Roman" w:hAnsi="Times New Roman"/>
      <w:color w:val="000000"/>
      <w:spacing w:val="3"/>
      <w:sz w:val="26"/>
      <w:u w:val="none"/>
    </w:rPr>
  </w:style>
  <w:style w:styleId="Style_48_ch" w:type="character">
    <w:name w:val="Основной текст1"/>
    <w:basedOn w:val="Style_26_ch"/>
    <w:link w:val="Style_48"/>
    <w:rPr>
      <w:rFonts w:ascii="Times New Roman" w:hAnsi="Times New Roman"/>
      <w:color w:val="000000"/>
      <w:spacing w:val="3"/>
      <w:sz w:val="26"/>
      <w:u w:val="none"/>
    </w:rPr>
  </w:style>
  <w:style w:styleId="Style_8" w:type="paragraph">
    <w:name w:val="ConsPlusCell"/>
    <w:link w:val="Style_8_ch"/>
    <w:rPr>
      <w:rFonts w:ascii="Arial" w:hAnsi="Arial"/>
    </w:rPr>
  </w:style>
  <w:style w:styleId="Style_8_ch" w:type="character">
    <w:name w:val="ConsPlusCell"/>
    <w:link w:val="Style_8"/>
    <w:rPr>
      <w:rFonts w:ascii="Arial" w:hAnsi="Arial"/>
    </w:rPr>
  </w:style>
  <w:style w:styleId="Style_1" w:type="paragraph">
    <w:name w:val="header"/>
    <w:basedOn w:val="Style_1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5_ch"/>
    <w:link w:val="Style_1"/>
  </w:style>
  <w:style w:styleId="Style_49" w:type="paragraph">
    <w:name w:val="heading 2"/>
    <w:basedOn w:val="Style_15"/>
    <w:next w:val="Style_15"/>
    <w:link w:val="Style_49_ch"/>
    <w:uiPriority w:val="9"/>
    <w:qFormat/>
    <w:pPr>
      <w:keepNext w:val="1"/>
      <w:ind/>
      <w:jc w:val="right"/>
      <w:outlineLvl w:val="1"/>
    </w:pPr>
    <w:rPr>
      <w:sz w:val="28"/>
    </w:rPr>
  </w:style>
  <w:style w:styleId="Style_49_ch" w:type="character">
    <w:name w:val="heading 2"/>
    <w:basedOn w:val="Style_15_ch"/>
    <w:link w:val="Style_49"/>
    <w:rPr>
      <w:sz w:val="28"/>
    </w:rPr>
  </w:style>
  <w:style w:styleId="Style_9" w:type="paragraph">
    <w:name w:val="ConsPlusNormal"/>
    <w:link w:val="Style_9_ch"/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2" w:type="paragraph">
    <w:name w:val="Body Text 3"/>
    <w:basedOn w:val="Style_15"/>
    <w:link w:val="Style_12_ch"/>
    <w:pPr>
      <w:spacing w:after="120"/>
      <w:ind/>
    </w:pPr>
    <w:rPr>
      <w:sz w:val="16"/>
    </w:rPr>
  </w:style>
  <w:style w:styleId="Style_12_ch" w:type="character">
    <w:name w:val="Body Text 3"/>
    <w:basedOn w:val="Style_15_ch"/>
    <w:link w:val="Style_12"/>
    <w:rPr>
      <w:sz w:val="16"/>
    </w:rPr>
  </w:style>
  <w:style w:styleId="Style_50" w:type="paragraph">
    <w:name w:val="heading 6"/>
    <w:basedOn w:val="Style_15"/>
    <w:next w:val="Style_15"/>
    <w:link w:val="Style_50_ch"/>
    <w:uiPriority w:val="9"/>
    <w:qFormat/>
    <w:pPr>
      <w:keepNext w:val="1"/>
      <w:ind/>
      <w:jc w:val="center"/>
      <w:outlineLvl w:val="5"/>
    </w:pPr>
    <w:rPr>
      <w:b w:val="1"/>
      <w:sz w:val="20"/>
    </w:rPr>
  </w:style>
  <w:style w:styleId="Style_50_ch" w:type="character">
    <w:name w:val="heading 6"/>
    <w:basedOn w:val="Style_15_ch"/>
    <w:link w:val="Style_50"/>
    <w:rPr>
      <w:b w:val="1"/>
      <w:sz w:val="20"/>
    </w:rPr>
  </w:style>
  <w:style w:styleId="Style_51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styles.xml" Type="http://schemas.openxmlformats.org/officeDocument/2006/relationships/style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media/2.wmf" Type="http://schemas.openxmlformats.org/officeDocument/2006/relationships/image"/>
  <Relationship Id="rId13" Target="media/1.png" Type="http://schemas.openxmlformats.org/officeDocument/2006/relationships/image"/>
  <Relationship Id="rId18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webSettings.xml" Type="http://schemas.openxmlformats.org/officeDocument/2006/relationships/webSettings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ettings.xml" Type="http://schemas.openxmlformats.org/officeDocument/2006/relationships/settings"/>
  <Relationship Id="rId20" Target="theme/theme1.xml" Type="http://schemas.openxmlformats.org/officeDocument/2006/relationships/theme"/>
  <Relationship Id="rId2" Target="footer2.xml" Type="http://schemas.openxmlformats.org/officeDocument/2006/relationships/footer"/>
  <Relationship Id="rId21" Target="numbering.xml" Type="http://schemas.openxmlformats.org/officeDocument/2006/relationships/numbering"/>
  <Relationship Id="rId9" Target="header9.xml" Type="http://schemas.openxmlformats.org/officeDocument/2006/relationships/header"/>
  <Relationship Id="rId15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2026-02-13T05:14:19Z</dcterms:modified>
</cp:coreProperties>
</file>