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>Приложение №1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к муниципальной  программе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«Повышение эффективности работы с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молодежью, организация отдыха и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оздоровления детей, молодежи, развитие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физической культуры и спорта 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Горшеченском районе Курской области»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в Горшеченском районе Курской области»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tbl>
      <w:tblPr>
        <w:tblW w:w="9571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886"/>
        <w:gridCol w:w="5684"/>
      </w:tblGrid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вопросам культуры, молодежи, физической культуры и спорта Администрации Горшеченского района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Участники 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- отдел образования Администрации Горшеченского района;</w:t>
            </w:r>
          </w:p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- муниципальные образования Горшеченского района</w:t>
            </w:r>
          </w:p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- ОМВД России по Горшеченскому району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Подпрограмма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«Управление муниципальной программой и обеспечение условий реализации» - отсутствует.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Подпрограмма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«Повышение эффективности реализации молодежной политики».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Подпрограмма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«Реализация муниципальной политики в сфере физической культуры и спорта».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Подпрограмма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«Оздоровление и отдых детей».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повышение эффективности работы с  молодежью  и развития системы отдыха и оздоровления  детей, молодежи Горшеченского района Курской области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создание условий, обеспечивающих повышение мотивации жителей Горшеченского района к регулярным занятиям физической культурой и спортом и ведению здорового образа жизни;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вовлечение молодежи в общественную деятельность;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-организация оздоровления и отдыха детей, молодежи Горшеченского района - повышение мотивации жителей Горшеченского района к регулярным занятиям физической культурой и спортом и ведению здорового образа жизни;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развитие инфраструктуры физической культуры и спорта;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мероприятиях (конкурсах, фестивалях, соревнованиях и т.д.) в общем количестве молодежи;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деятельности детских и молодежных общественных организаций в общем количестве молодежи;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деятельности патриотических клубов, центров в общем количестве молодежи;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принимающих участие в волонтерской (добровольческой) деятельности в общем количестве молодежи.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оздоровленных детей в рамках организации оздоровления и отдыха, в общей численности детей возрасте  от 7 до 18 лет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населения возрастной категории от 7 до 15 лет, получивших услугу по оздоровлению и отдыху на базе муниципальных образовательных учреждений Горшеченского района (лагеря с дневным пребыванием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жителей Горшеченского района, систематически занимающихся физической культурой и спортом, в общей численности населения района.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реализуется в один этап в 2026-2028 годах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общий объем необходимых финансовых средств бюджета муниципального района   для реализации Программы составляет</w:t>
            </w:r>
          </w:p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42 701 031 рублей, в том числе по годам:</w:t>
            </w:r>
          </w:p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в 2026 году – 16 519 047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2027 году – 13 090 992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2028 году – 13 090 992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объем финансирования по Подпрограмме 2 «Повышение эффективности реализации молодежной политики» за счет средств бюджета муниципального района составит 550 000 рублей, в том числе по годам: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2026 году — 150 000 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рублей</w:t>
            </w:r>
          </w:p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в 2027 году — 200 000 рублей</w:t>
            </w:r>
          </w:p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в 2028 году -  200 000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по Подпрограмме 3, «Реализация муниципальной политики в сфере физической культуры и спорта за счет средств бюджета муниципального района составит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 xml:space="preserve"> 37 598 783 рублей, в том числе по годам:</w:t>
            </w:r>
          </w:p>
          <w:p>
            <w:pPr>
              <w:pStyle w:val="Normal"/>
              <w:spacing w:lineRule="auto" w:line="276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в 2026 году – 13 578 799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2027 году – 12  009 992  рубл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2028 году - 12 009 992 рубл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объем финансирования по Подпрограмме 4 «Оздоровление и отдых детей» за счет средств бюджета муниципального района составит 4 552 248 рублей, в том числе по годам: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2026 году – 2 790 248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2027 году –881 000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2028 году – 881 000 рублей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результате реализации Программы  с детьми и молодежью будет увеличена: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деятельности детских и молодежных общественных организаций на 7%;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принимающих участие в волонтерской (добровольческой) деятельности на 10%;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вовлеченных в проекты и программы в сфере социальной адаптации и профилактике асоциального поведения на 5%;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деятельности патриотических клубов на 10%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- сохранение доли детей, оздоровленных в рамках организации оздоровления и отдыха, в общей численности детей возрасте от 7 до 18 лет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-доля населения возрастной категории от 7 до 15 лет, получивших услугу по оздоровлению и отдыху на базе муниципальных образовательных  учреждений (лагеря с дневным пребыванием)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-устойчивое развитие физической культуры и спорта в Горшеченском районе, что характеризуется ростом количественных показателей и качественной оценкой изменений, происходящих в сфере физической культуры и спорта.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привлечение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Горшеченского района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1.  Приоритеты и цели  муниципальной политики, в том числе общие требования к политике в соответствующей сфере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 Приоритеты муниципальной политики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Приоритетами муниципальной молодежной политики на территории Горшеченского района являются: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вовлечение молодежи в социальную практику;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поддержка общественно значимых инициатив, общественно-полезной деятельности молодежи, молодежных, детских общественных объединений;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обеспечение эффективной социализации молодежи, находящейся в трудной жизненной ситуации;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гражданское и патриотическое воспитание молодежи;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выявление и поддержка талантливой молодежи;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профилактика правонарушений среди молодежи.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Программой предусмотрен комплекс мер по реализации инновационного потенциала молодежи, формированию гражданского правосознания, патриотическому воспитанию, допризывной подготовки молодежи, поддержки молодежных инициатив, развитию волонтерского (добровольческого) движения, включение молодежи в социальную практику, поддержку инициативной и талантливой молодежи.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приоритетным направлениям развития системы и совершенствования организации оздоровления и отдыха детей, отнесены: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модернизация и развитие сферы отдыха и оздоровления;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-обеспечение доступности оздоровительных путевок и улучшение качества предоставляемой услуги для всех нуждающихся путем дальнейшего развития сети организации  отдыха и оздоровления.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 Цели и задачи муниципальной политики в сфере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повышения эффективности работы с молодежью, организации отдыха и оздоровления детей, молодежи, развития физической культуры и спорта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 Программы: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>- повышение эффективности работы с  молодежью  и развития системы отдыха и оздоровления  детей, молодежи Горшеченского района Курской области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создание условий, обеспечивающих повышение мотивации жителей Горшеченского района к регулярным занятиям физической  культурой и спортом и ведению здорового образа жизни;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Задачи Программы: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вовлечение молодежи в общественную деятельность;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повышение мотивации жителей Горшеченского района к регулярным занятиям физической культурой и спортом и ведению здорового образа жизни;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развитие инфраструктуры физической культуры и спорта;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организация оздоровления и отдыха детей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Решение указанных задач обеспечивается через систему мероприятий, предусмотренных в следующих Подпрограммах: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Подпрограмма 2 «Повышение эффективности работы с молодежью».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Подпрограмма 3 «Развитие физической культуры и спорта».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Подпрограмма 4 «Отдых и оздоровление детей, молодежи».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 ожидаемым конечным результатом реализации Программы является повышение эффективности работы с молодежью, развития системы оздоровления и отдыха детей в Горшеченском районе и устойчивое развитие физической культуры и спорта.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2. Перечень и характеристики основных мероприятий муниципальной программы  и ведомственных целевых программ с указанием сроков их реализации и ожидаемых результатов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FF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Программы и реализации запланированных ею мероприятий в структуру Программы включены три Подпрограммы.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Подпрограммы  2 «Повышение эффективности реализации молодежной политики» предусматривается реализация основных мероприятий: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Мероприятие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1. </w:t>
      </w:r>
      <w:r>
        <w:rPr>
          <w:rFonts w:ascii="Times New Roman" w:hAnsi="Times New Roman"/>
          <w:bCs/>
          <w:sz w:val="28"/>
          <w:szCs w:val="28"/>
          <w:lang w:eastAsia="ru-RU"/>
        </w:rPr>
        <w:t>«Создание условий для вовлечения молодежи в активную общественную деятельность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Подпрограмма 4 «Оздоровление и отдых детей» предусматривается реализация основных мероприятии: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Мероприятие</w:t>
      </w:r>
      <w:r>
        <w:rPr>
          <w:rFonts w:ascii="Times New Roman" w:hAnsi="Times New Roman"/>
          <w:sz w:val="28"/>
          <w:szCs w:val="28"/>
          <w:lang w:eastAsia="ru-RU"/>
        </w:rPr>
        <w:t xml:space="preserve"> 1.1 «Обеспечение деятельности оказания муниципальных услуг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Мероприятие 1.1</w:t>
      </w:r>
      <w:r>
        <w:rPr>
          <w:rFonts w:ascii="Times New Roman" w:hAnsi="Times New Roman"/>
          <w:sz w:val="28"/>
          <w:szCs w:val="28"/>
          <w:lang w:eastAsia="ru-RU"/>
        </w:rPr>
        <w:t>. «Развитие системы оздоровления и отдыха детей».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основных мероприятий Программы представлен в приложении № 1 к муниципальной программе.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рограмма реализуется в один этап в 2026-2028 годах.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Программа отражает комплексный подход в планировании и реализации мероприятий в сфере молодежной политики.   Программа является основным документом для исполнения программных мероприятий на различных уровнях, а также комплексного плана молодежных мероприятий учебных заведений, детских и молодежных общественных объединений и других.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3. Основные меры правового регулирования в соответствующей сфере, направленные на достижение цели и ожидаемых результатов муниципальной программы с указанием основных положений и сроков принятия необходимых нормативных правовых актов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Программы осуществляется работа по обеспечению своевременной ее корректировки, внесение изменений в правовые акты в сфере ее реализации.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реализации Программы планируется осуществить ряд мер муниципального регулирования, в том числе: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повысить доступность финансовых ресурсов для развития физической культуры и спорта;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развивать организацию отдыха и оздоровления детей и молодежи района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Необходимость разработки правовых актов будет определяться в процессе реализации подпрограмм в соответствии с изменениями законодательства Российской Федерации и Курской области.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  <w:t>4. Перечень и сведения о целевых индикаторах и показателях муниципальной программы с расшифровкой плановых значений по годам ее реализации, а также сведения о взаимосвязи мероприятий и результатов их выполнения с целевыми индикаторами и показателями муниципальной программы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оценки хода реализации Программы и характеристики состояния установленной сферы деятельности предусмотрена система </w:t>
      </w:r>
      <w:r>
        <w:rPr>
          <w:rFonts w:ascii="Times New Roman" w:hAnsi="Times New Roman"/>
          <w:bCs/>
          <w:sz w:val="28"/>
          <w:szCs w:val="28"/>
          <w:lang w:eastAsia="ru-RU"/>
        </w:rPr>
        <w:t>показателей (индикаторов)</w:t>
      </w:r>
      <w:r>
        <w:rPr>
          <w:rFonts w:ascii="Times New Roman" w:hAnsi="Times New Roman"/>
          <w:sz w:val="28"/>
          <w:szCs w:val="28"/>
          <w:lang w:eastAsia="ru-RU"/>
        </w:rPr>
        <w:t>Программы.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Сведения о показателях (индикаторах) Программы приведены в приложении № 1.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Достижение поставленных целей и задач Программы характеризуется следующими показателями (индикаторами):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доля достигнутых показателей программы к общему количеству показателей;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-доля молодых людей в возрасте от 14 до 35 лет, участвующих в деятельности молодежных общественных объединений, в общей численности молодых людей  от 14 до 35 лет;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доля оздоровленных детей в  рамках организации оздоровления и отдыха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доля жителей Горшеченского района, систематически занимающихся физической культурой и спортом, в общей численности населения Горшеченского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1)Показателем (индикатором) Подпрограммы 2 служит доля достигнутых показателей (индикаторов)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Программы </w:t>
      </w:r>
      <w:r>
        <w:rPr>
          <w:rFonts w:ascii="Times New Roman" w:hAnsi="Times New Roman"/>
          <w:sz w:val="28"/>
          <w:szCs w:val="28"/>
          <w:lang w:eastAsia="ru-RU"/>
        </w:rPr>
        <w:t>к общему количеству показателей (индикаторов).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Данный показатель рассчитывается в процентах, как отношение достигнутых показателей (индикаторов) Программы к планируемым показателям (индикаторам), указанным в приложении № 2 к муниципальной  программе.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2) Удельный вес численности молодых людей в возрасте от 14 до 35 лет, участвующих в деятельности молодежных общественных объединений, в общей численности молодых людей в возрасте от 14 до 35 лет.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Показатель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отражает повышение привлекательности молодежных общественных объединений и повышение социальной активности молодых людей.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Показатель определяется как отношение </w:t>
      </w:r>
      <w:r>
        <w:rPr>
          <w:rFonts w:ascii="Times New Roman" w:hAnsi="Times New Roman"/>
          <w:bCs/>
          <w:sz w:val="28"/>
          <w:szCs w:val="28"/>
          <w:lang w:eastAsia="ru-RU"/>
        </w:rPr>
        <w:t>численности молодых людей в возрасте от 14 до 35 лет, участвующих в деятельности молодежных общественных объединений, в общей численности молодых людей от 14 до 35 лет, проживающих на территории Горшеченского района: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определяется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В/А*100%, где: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– численность молодых людей в возрасте от 14 до 35 лет, участвующих в деятельности молодежных общественных объединений;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 – общая численность молодых людей от 14 до 35 лет, проживающих на территории Горшеченского района.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Значение целевого индикатора за отчетный период определяется путем мониторинга, включающего в себя сбор и анализ информации о выполнении показателей.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Доля оздоровленных детей в  рамках организации оздоровления и отдыха.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Показатель позволяет оценить результаты реализации в районе мероприятий по оздоровлению и отдыху детей.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Показатель определяется как отношение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численности оздоровленных детей Горшеченского района,  получивших в отчетном году путевку в загородные лагеря и  лагеря с дневным пребыванием, к общей численности детей района  школьного возраста (в возрасте от 7 до 18 лет в загородных лагерях, в возрасте от 7 до 15 лет в лагерях с дневным пребыванием).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определяется по формуле: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В/А*100%, где: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- численность оздоровленных детей района, получивших в отчетном году  путевку в стационарные организации отдыха и оздоровления;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 – общая численность детей района в  возрасте от 7 до 18 лет в загородных лагерях, в возрасте от 7 до 15 лет в лагерях с дневным пребыванием.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2"/>
          <w:sz w:val="32"/>
          <w:szCs w:val="32"/>
          <w:lang w:eastAsia="ru-RU"/>
        </w:rPr>
        <w:t xml:space="preserve">5. Информация по финансовому обеспечению муниципальной программы за счет средств бюджета муниципального района 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Cs/>
          <w:kern w:val="2"/>
          <w:sz w:val="32"/>
          <w:szCs w:val="32"/>
          <w:lang w:eastAsia="ru-RU"/>
        </w:rPr>
      </w:pPr>
      <w:r>
        <w:rPr>
          <w:rFonts w:ascii="Times New Roman" w:hAnsi="Times New Roman"/>
          <w:bCs/>
          <w:kern w:val="2"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Ресурсное обеспечение реализации Программы за счет средств бюджета Муниципального района  подлежит ежегодному уточнению в рамках формирования проектов бюджетов на очередной финансовый год и плановый период.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- общий объем необходимых финансовых средств бюджета муниципального района   для реализации Программы в 2026 – 2028 годах составляет </w:t>
      </w:r>
      <w:r>
        <w:rPr>
          <w:rFonts w:ascii="Times New Roman" w:hAnsi="Times New Roman"/>
          <w:b/>
          <w:sz w:val="28"/>
          <w:szCs w:val="28"/>
          <w:shd w:fill="auto" w:val="clear"/>
          <w:lang w:eastAsia="ru-RU"/>
        </w:rPr>
        <w:t>42 701 031 рублей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, в том числе по годам: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2026 году – 16 519 047 рублей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2027 году – 13 090 992 рублей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2028 году – 13 090 992 рублей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объем финансирования по Подпрограмме 2«Повышение эффективности реализации молодежной политики» за счет средств бюджета муниципального района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 составит </w:t>
      </w:r>
      <w:r>
        <w:rPr>
          <w:rFonts w:ascii="Times New Roman" w:hAnsi="Times New Roman"/>
          <w:b/>
          <w:sz w:val="28"/>
          <w:szCs w:val="28"/>
          <w:shd w:fill="auto" w:val="clear"/>
          <w:lang w:eastAsia="ru-RU"/>
        </w:rPr>
        <w:t>550 000 рублей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, в том числе по годам: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2026 году – 150 000 рубля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2027 году – 200 000 рубля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2028 году – 200 000рубля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объем финансирования по Подпрограмме 3«Реализация муниципальной политики в сфере физической культуры и спорта» за счет средств бюджета муниципального района составит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shd w:fill="auto" w:val="clear"/>
          <w:lang w:eastAsia="ru-RU"/>
        </w:rPr>
        <w:t>37 598 783 рублей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, в том числе по годам: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2026 году – 13 578 799 рублей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2027 году – 12 009 992 рубл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2028 году - 12 009 992 рубл</w:t>
      </w:r>
      <w:r>
        <w:rPr>
          <w:rFonts w:ascii="Times New Roman" w:hAnsi="Times New Roman"/>
          <w:sz w:val="28"/>
          <w:szCs w:val="28"/>
          <w:lang w:eastAsia="ru-RU"/>
        </w:rPr>
        <w:t>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- объем финансирования по Подпрограмме</w:t>
      </w:r>
      <w:r>
        <w:rPr>
          <w:rFonts w:ascii="Times New Roman" w:hAnsi="Times New Roman"/>
          <w:sz w:val="24"/>
          <w:szCs w:val="24"/>
          <w:lang w:eastAsia="ru-RU"/>
        </w:rPr>
        <w:t xml:space="preserve"> 4 </w:t>
      </w:r>
      <w:r>
        <w:rPr>
          <w:rFonts w:ascii="Times New Roman" w:hAnsi="Times New Roman"/>
          <w:sz w:val="28"/>
          <w:szCs w:val="28"/>
          <w:lang w:eastAsia="ru-RU"/>
        </w:rPr>
        <w:t xml:space="preserve">«Оздоровление и отдых детей» за счет средств бюджета муниципального района составит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4 552 248 </w:t>
      </w:r>
      <w:r>
        <w:rPr>
          <w:rFonts w:ascii="Times New Roman" w:hAnsi="Times New Roman"/>
          <w:b/>
          <w:sz w:val="28"/>
          <w:szCs w:val="28"/>
          <w:lang w:eastAsia="ru-RU"/>
        </w:rPr>
        <w:t>р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ублей</w:t>
      </w:r>
      <w:r>
        <w:rPr>
          <w:rFonts w:ascii="Times New Roman" w:hAnsi="Times New Roman"/>
          <w:sz w:val="28"/>
          <w:szCs w:val="28"/>
          <w:lang w:eastAsia="ru-RU"/>
        </w:rPr>
        <w:t>, в том числе по годам: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2026 году –2 790 248 рублей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2027 году – 881 000 рублей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2028 году – 881 000 рублей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Ресурсное обеспечение реализации основных мероприятий Программы за счет средств бюджета муниципального района.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Ресурсное обеспечение и прогнозная (справочная) оценка расходов местного бюджета, представлены в приложении № 5.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Финансовое обеспечение реализации Программы в части расходных обязательств муниципального осуществляется за счет бюджетных ассигнований бюджета муниципального района.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Характеристика текущего состояния соответствующей сферы социально – экономического развития Горшеченского района, основные показатели и анализ социальных, финансовых – экономических и прочих рисков реализации муниципальной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Российская молодежь сегодня - это около 37 млн. человек в возрасте от 14 до 35 лет, что составляет 34 процента трудоспособного населения страны.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Курской области сегодня молодежь в возрасте от 14 до 35 лет составляет почти четверть населения региона – 282 тысячи, из них 158 тысяч – городское население, 121 тысяча – сельское. Это наиболее динамично развивающаяся категория населения и от ее позитивного настроя, социальной активности и духовного благополучия зависит успех проводимых преобразований, общее развитие Курской области в целом.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/>
          <w:sz w:val="28"/>
          <w:szCs w:val="28"/>
          <w:lang w:eastAsia="ru-RU"/>
        </w:rPr>
        <w:t>Настоящая муниципальная программа «Повышение эффективности работы с молодежью, организация отдыха и оздоровление детей, молодежи, развитие физической культуры и спорта» на 2024 - 2026 годы отражает комплексный подход в планировании и реализации молодежной политики и нацелена на продолжение работы по развитию системы мероприятий для молодежи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рассматривает в качестве ключевых проблем: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несоответствие жизненных установок, ценностей и моделей поведения молодых людей потребностям страны и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комплексной системы выявления и продвижения инициативной и талантливой молодежи;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у молодежи интереса к участию в общественно – политической жизни общества;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несоответствие материально- технической базы работающих с молодежью организаций современным технологиям работы и ожиданиям молодых людей.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Перечисленные проблемы требуют системного решения, так как проявляются во всех сферах  жизнедеятельности молодежи.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Вместе с тем, молодежь обладает значительным потенциалом, который используется не в полной мере - мобильностью, инициативностью, восприимчивостью к инновациям, новым технологиям, способностью противодействовать негативным вызовам.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Программой предусмотрен комплекс мер по реализации инновационного потенциала молодежи, формированию гражданского правосознания, патриотическому воспитанию, допризывной подготовки молодежи, развитию волонтерского движения, поддержке инициативной и талантливой молодежи.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оздоровления и отдыха детей Горшеченского района с 2010 года на территории района реализуется новый механизм организации отдыха в связи с передачей субъектам Российской Федерации полномочий по организации оздоровления и отдыха детей.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вопросы организации отдыха, оздоровления и занятости детей в каникулярное время отнесены к компетенции муниципальных районов.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right="-9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Качество отдыха и оздоровления детей определяется комплексным обеспечением следующих требований: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Доступность получения путевок: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обеспечен равный доступ всех семей к получению путевок вне зависимости от  работодателей и социального положения родителей;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отработана единая система выдачи путевок  семьям по месту жительства;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расширена возрастная категория оздоравливаемых детей.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В соответствии с Федеральным законом № 124-ФЗ от 24.07.1998 г. «Об основных гарантиях прав ребенка в Российской Федерации» возрастная категория детей, имеющих право оздоровиться,  установлена от 7 до 18 лет.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Увеличение путевок на стационарные базы: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Качественно изменилась структура оздоровления и отдыха детей в связи с тем, что основным направлением с 2010 года стала организация работы с детьми в учреждениях санаторного типа и загородных оздоровительных лагерях.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результате реализации Программы ожидается </w:t>
      </w:r>
      <w:r>
        <w:rPr>
          <w:rFonts w:ascii="Times New Roman" w:hAnsi="Times New Roman"/>
          <w:sz w:val="28"/>
          <w:szCs w:val="28"/>
          <w:lang w:eastAsia="ru-RU"/>
        </w:rPr>
        <w:t>повышение качества оздоровления и отдыха детей и подростков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Также, по итогам исполнения Программных мероприятий прогнозируется: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расширение масштабов адресной поддержки семей с детьми, что создаст основу для улучшения социального климата в обществе и, в то же время, для более эффективного использования средств бюджета Горшеченского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совершенствование организации предоставления услуг по отдыху и оздоровлению детей и подростков Горшеченского района  в оздоровительных организациях, которое будет способствовать повышению качества жизни семей, сохранению здоровья, будет позитивно сказываться на снижении потребности в медицинских услугах;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и совершенствование системы поддержки многодетных семей, что необходимо для преодоления депопуляции, формирования трудового потенциала, количественные и качественные характеристики которого в перспективе будут соответствовать потребностям развивающейся экономики.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7. Прогноз развития соответствующей  сферы социально- экономического развития Горшеченского района и планируемые  макроэкономические показатели по итогам реализации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основе деятельности по реализации мероприятий, по повышению эффективности работы с  молодежью  окажет непосредственное влияние на состояние, в сопряженных сферах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и патриотического воспитания граждан, распространению практики добровольчества как важнейшего направления «гражданского образования», совершенствование организации предоставления услуг в сфере отдыха и оздоровления, способствует повышению качества жизни нуждающихся граждан (семей), сохранению их физического и психического здоровья, увеличению продолжительности жизни, будет позитивно сказываться на снижении потребности в медицинских услугах.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включает 3 Подпрограммы: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Подпрограммы 2 «Повышение эффективности реализации молодежной политики» основная цель -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мероприятия в рамках которой охватывают как молодежь школьного возраста, так и работающую молодежь.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>Подпрограмма 3 ««Реализация муниципальной политики в сфере физической культуры и спорта».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Подпрограмма 4. «</w:t>
      </w:r>
      <w:r>
        <w:rPr>
          <w:rFonts w:ascii="Times New Roman" w:hAnsi="Times New Roman"/>
          <w:sz w:val="28"/>
          <w:szCs w:val="28"/>
          <w:lang w:eastAsia="ru-RU"/>
        </w:rPr>
        <w:t>Оздоровление и отдых детей», основная цель - организация оздоровления и отдыха детей Горшеченского района в загородных лагерях и лагерях с дневным пребыванием.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8. Описание  мер муниципального регулирования в сфере  реализации программы.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основе анализа мероприятий, предлагаемых для реализации в рамках Программы, выделены следующие риски ее реализации.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Финансовые риски</w:t>
      </w:r>
      <w:r>
        <w:rPr>
          <w:rFonts w:ascii="Times New Roman" w:hAnsi="Times New Roman"/>
          <w:sz w:val="28"/>
          <w:szCs w:val="28"/>
          <w:lang w:eastAsia="ru-RU"/>
        </w:rPr>
        <w:t>, которые могут привести к снижению объемов финансирования программных мероприятий из средств бюджета муниципального района. Возникновение данных рисков может привести к недофинансированию запланированных мероприятий всех подпрограмм, в том числе публичных нормативных обязательств, что осложнит оказание поддержки гражданам, и как, следствие, приведет к росту социальной напряженности в обществе.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Операционные риски </w:t>
      </w:r>
      <w:r>
        <w:rPr>
          <w:rFonts w:ascii="Times New Roman" w:hAnsi="Times New Roman"/>
          <w:sz w:val="28"/>
          <w:szCs w:val="28"/>
          <w:lang w:eastAsia="ru-RU"/>
        </w:rPr>
        <w:t>связаны с возможным несвоевременным внесением изменений в нормативную правовую базу и несвоевременным выполнением мероприятий 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Данные риски будут минимизированы в рамках совершенствования мер правового регулирования, предусмотренных Программой, путем улучшения организации межведомственного взаимодействия с участниками Программы, путем повышения ответственности должностных лиц ответственного исполнителя, соисполнителя и участников Программы за своевременное и высокопрофессиональное исполнение мероприятий Программы, а также в рамках институциональных преобразований в системе муниципального управления.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i/>
          <w:sz w:val="28"/>
          <w:szCs w:val="28"/>
          <w:lang w:eastAsia="ru-RU"/>
        </w:rPr>
        <w:t>Социальные риски</w:t>
      </w:r>
      <w:r>
        <w:rPr>
          <w:rFonts w:eastAsia="HiddenHorzOCR" w:ascii="Times New Roman" w:hAnsi="Times New Roman"/>
          <w:sz w:val="28"/>
          <w:szCs w:val="28"/>
          <w:lang w:eastAsia="ru-RU"/>
        </w:rPr>
        <w:t xml:space="preserve"> связаны с недостаточным освещением в средствах массовой информации целей, задач и планируемых в рамках Программы результатов, с ошибками в реализации мероприятий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Программы. Важно также демонстрировать достижения реализации Программы.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Информационные риски</w:t>
      </w:r>
      <w:r>
        <w:rPr>
          <w:rFonts w:ascii="Times New Roman" w:hAnsi="Times New Roman"/>
          <w:sz w:val="28"/>
          <w:szCs w:val="28"/>
          <w:lang w:eastAsia="ru-RU"/>
        </w:rPr>
        <w:t>определяются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целью управления информационными рисками в ходе реализации Программы будет проводиться работа, направленная на: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использование статистических показателей, обеспечивающих объективность оценки хода и результатов реализации Программы;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мониторинг и оценку исполнения целевых показателей (индикаторов) 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9. Методика оценки эффективности муниципальной  программы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Методика оценки эффективности муниципальной программы (далее – Методика) представляет собой алгоритм оценки в процессе (по годам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объемов ресурсов, направленных на  реализацию муниципальной программы.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Методика включает проведение количественных оценок эффективности по следующим направлениям: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Степень достижения запланированных результатов (достижения целей и решения задач, запланированных программных мероприятий) программы (оценка результативности).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Степень реализации основных мероприятий (достижения ожидаемых непосредственных результатов их реализации) муниципальной программы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Степень соответствия фактических затрат бюджета муниципального района и запланированного уровня (эффективность использования средств бюджета муниципального района, оценка полноты использования бюджетных средств) и привлечение дополнительных средств для реализации программных мероприятий.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дополнение к количественной оценке эффективности производится качественная оценка социальной эффективности муниципальной программы на основе анализа достижения ожидаемых результатов программы. Оценка эффективности реализации муниципальной программы включает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муниципальной 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результативности по каждому показателю муниципальной программы проводится по формуле: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Ei</m:t>
        </m:r>
        <m:r>
          <w:rPr>
            <w:rFonts w:ascii="Cambria Math" w:hAnsi="Cambria Math"/>
          </w:rPr>
          <m:t xml:space="preserve">=</m:t>
        </m:r>
        <m:f>
          <m:num>
            <m:r>
              <m:rPr>
                <m:lit/>
                <m:nor/>
              </m:rPr>
              <w:rPr>
                <w:rFonts w:ascii="Cambria Math" w:hAnsi="Cambria Math"/>
              </w:rPr>
              <m:t xml:space="preserve">Tfi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 xml:space="preserve">TNi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eastAsia="Batang" w:ascii="Times New Roman" w:hAnsi="Times New Roman"/>
          <w:sz w:val="28"/>
          <w:szCs w:val="28"/>
          <w:lang w:eastAsia="ko-KR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Ei – степень достижения  i - показателя программы (процентов);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Tfi – фактическое значение показателя;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TNi – установленное программой целевое значение показателя.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Степень выполнения программных мероприятий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tbl>
      <w:tblPr>
        <w:tblW w:w="9399" w:type="dxa"/>
        <w:jc w:val="center"/>
        <w:tblInd w:w="0" w:type="dxa"/>
        <w:tblLayout w:type="fixed"/>
        <w:tblCellMar>
          <w:top w:w="0" w:type="dxa"/>
          <w:left w:w="75" w:type="dxa"/>
          <w:bottom w:w="0" w:type="dxa"/>
          <w:right w:w="75" w:type="dxa"/>
        </w:tblCellMar>
        <w:tblLook w:val="00a0"/>
      </w:tblPr>
      <w:tblGrid>
        <w:gridCol w:w="2057"/>
        <w:gridCol w:w="1334"/>
        <w:gridCol w:w="4900"/>
        <w:gridCol w:w="1107"/>
      </w:tblGrid>
      <w:tr>
        <w:trPr/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Формулировка критерия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right="-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Весовой коэффициент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Градации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(Ei – степень достижения  i - показателя программы (процентов))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Балльная оценка</w:t>
            </w:r>
          </w:p>
        </w:tc>
      </w:tr>
      <w:tr>
        <w:trPr/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Степень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выполнения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запланированных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программных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100%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более 80%, но менее 100%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более 50%, но менее 80%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менее 50%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результативности реализации муниципальной программы в целом проводится по формуле: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E</m:t>
        </m:r>
        <m:r>
          <w:rPr>
            <w:rFonts w:ascii="Cambria Math" w:hAnsi="Cambria Math"/>
          </w:rPr>
          <m:t xml:space="preserve">=</m:t>
        </m:r>
        <m:f>
          <m:num>
            <m:nary>
              <m:naryPr>
                <m:chr m:val="∑"/>
              </m:naryPr>
              <m:sub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</m:t>
                </m:r>
              </m:sub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>Ei</m:t>
                </m:r>
              </m:e>
            </m:nary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 - результативность реализации программы (процентов);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n - количество показателей программы, единиц.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оценки степени достижения запланированных результатов муниципальной программы устанавливаются следующие критерии: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равно или больше 80 %, степень достижения запланированных результатов муниципальной программы оценивается как высокая;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равно или больше 50 %, но меньше 80 %, степень достижения запланированных результатов муниципальной программы оценивается как удовлетворительная;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меньше 50 %, степень достижения запланированных результатов муниципальной программы оценивается как неудовлетворительная.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полноты использования бюджетных средств производится отношением фактических затрат бюджета муниципального района на реализацию муниципальной программы к запланированному уровню по следующей формуле: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П</m:t>
        </m:r>
        <m:r>
          <w:rPr>
            <w:rFonts w:ascii="Cambria Math" w:hAnsi="Cambria Math"/>
          </w:rPr>
          <m:t xml:space="preserve">=</m:t>
        </m:r>
        <m:f>
          <m:num>
            <m:r>
              <m:rPr>
                <m:lit/>
                <m:nor/>
              </m:rPr>
              <w:rPr>
                <w:rFonts w:ascii="Cambria Math" w:hAnsi="Cambria Math"/>
              </w:rPr>
              <m:t xml:space="preserve">ЗФ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 xml:space="preserve">ЗП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 – полнота использования бюджетных средств;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ЗФ– фактические расходы бюджета муниципального района на реализацию программы в соответствующем периоде;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ЗП– запланированные бюджетом муниципального района расходы на реализацию программы в соответствующей периоде.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целях оценки степени соответствия фактических затрат бюджета муниципального района на реализацию программы к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и значение показателя полноты использования бюджетных средств П равны или больше 80 %, то степень соответствия фактических затрат бюджета района на реализацию программы запланированному уровню оценивается как удовлетворительная;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значения показателя результативности E меньше 80 %, а значение показателя полноты использования бюджетных средств П меньше 100 %, то степень соответствия фактических затрат бюджета района на реализацию программы запланированному уровню оценивается как неудовлетворительная.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эффективности использования средств бюджета муниципального района на реализацию муниципальной программы производится по следующей формуле: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Э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П</m:t>
            </m:r>
          </m:num>
          <m:den>
            <m:r>
              <w:rPr>
                <w:rFonts w:ascii="Cambria Math" w:hAnsi="Cambria Math"/>
              </w:rPr>
              <m:t xml:space="preserve">Е</m:t>
            </m:r>
          </m:den>
        </m:f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 – эффективность использования средств бюджета муниципального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 – показатель полноты использования бюджетных средств;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 – показатель результативности реализации 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целях оценки эффективности использования средств бюджета муниципального района при реализации муниципальной программы устанавливаются следующие критерии: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эффективность использования средств бюджета муниципального района Э равно 1, то такая эффективность оценивается как соответствующая запланированной;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эффективность использования средств бюджета муниципального района Э меньше 1, то такая эффективность оценивается как высокая;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эффективность использования средств бюджета муниципального района Э больше 1, то такая эффективность оценивается как низкая.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2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к муниципальной  программе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«Повышение эффективности работы с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молодежью, организация отдыха и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оздоровления детей, молодежи, развитие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физической культуры и спорта в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Горшеченском районе Курской области»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Подпрограммы 2 «Повышение эффективности реализации молодежной политики»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tbl>
      <w:tblPr>
        <w:tblW w:w="9571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886"/>
        <w:gridCol w:w="5684"/>
      </w:tblGrid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вопросам культуры, молодежи, физической культуры и спорта Администрации Горшеченского района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молодежь от 14-35 лет, работающая молодежь до 35 лет, молодые семьи</w:t>
            </w:r>
          </w:p>
        </w:tc>
      </w:tr>
      <w:tr>
        <w:trPr/>
        <w:tc>
          <w:tcPr>
            <w:tcW w:w="3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Задачи  подпрограммы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возможностей для успешной социализации и эффективной самореализации молодых людей</w:t>
            </w:r>
          </w:p>
        </w:tc>
      </w:tr>
      <w:tr>
        <w:trPr/>
        <w:tc>
          <w:tcPr>
            <w:tcW w:w="3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создание условий для воспитания активной жизненной позиции молодых людей и гражданского становления молодежи;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государственная поддержка и создание условий для реализации программ и проектов детских, молодежных объединений;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вовлечение молодежи в социальную практику;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поддержка талантливой молодежи, создание условий для реализации интеллектуального и творческого потенциала молодежи;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информационное обеспечение государственной молодежной политики;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создание условий для более активного включения молодых инвалидов, молодых людей, попавших в трудную жизненную ситуацию, в различные виды социальной деятельности;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создание системы первичной профилактики негативных явлений в молодежной среде;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содействие вторичной и сезонной занятости молодежи.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Показатели (индикаторы)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мероприятиях (конкурсах, фестивалях, олимпиадах, соревнованиях и т.д.) в общем количестве молодежи;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деятельности детских и молодежных общественных организаций в общем количестве молодежи;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деятельности патриотических клубов, центров в общем количестве молодежи;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принимающих участие в волонтерской (добровольческой) деятельности в общем количестве молодежи.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Подпрограмма реализуется в один этап в 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2026-202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 годах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объем финансирования по Подпрограмме«Повышение эффективности реализации молодежной политики» за счет средств бюджета муниципального района составит 550 000 рублей, в том числе по годам: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2026 году – 150 000 руб</w:t>
            </w:r>
            <w:r>
              <w:rPr>
                <w:rFonts w:ascii="Times New Roman" w:hAnsi="Times New Roman"/>
                <w:sz w:val="28"/>
                <w:szCs w:val="28"/>
              </w:rPr>
              <w:t>лей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2027 году 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– 200 000 руб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лей</w:t>
            </w:r>
          </w:p>
          <w:p>
            <w:pPr>
              <w:pStyle w:val="Normal"/>
              <w:spacing w:lineRule="auto" w:line="276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в 2028 году -   200 000 руб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лей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результате реализации мероприятий с детьми и молодежью будет увеличена: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деятельности детских и молодежных общественных организаций на 7%;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принимающих участие в волонтерской (добровольческой) деятельности на 10%;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вовлеченных в проекты и программы в сфере социальной адаптации и профилактике асоциального поведения на 5%;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молодых людей, участвующих в деятельности патриотических клубов на 10%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  Приоритеты и цели  муниципальной политики, в том числе общие требования к политике в соответствующей сфере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1.1 Приоритеты муниципальной политики в сфере реализации Подпрограммы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 xml:space="preserve">Важнейшие приоритеты молодежной политики определены в следующих нормативных правовых актах: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Законе Курской области </w:t>
      </w:r>
      <w:r>
        <w:rPr>
          <w:rFonts w:ascii="Times New Roman" w:hAnsi="Times New Roman"/>
          <w:iCs/>
          <w:sz w:val="28"/>
          <w:szCs w:val="28"/>
          <w:lang w:eastAsia="ru-RU"/>
        </w:rPr>
        <w:t>от 18.03.2002 г. № 17-ЗКО</w:t>
      </w:r>
      <w:r>
        <w:rPr>
          <w:rFonts w:ascii="Times New Roman" w:hAnsi="Times New Roman"/>
          <w:sz w:val="28"/>
          <w:szCs w:val="28"/>
          <w:lang w:eastAsia="ru-RU"/>
        </w:rPr>
        <w:t xml:space="preserve"> «О государственной поддержке талантливой молодежи»;                                              </w:t>
        <w:tab/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ab/>
      </w:r>
      <w:r>
        <w:rPr>
          <w:rFonts w:ascii="Times New Roman" w:hAnsi="Times New Roman"/>
          <w:iCs/>
          <w:sz w:val="28"/>
          <w:szCs w:val="28"/>
          <w:shd w:fill="auto" w:val="clear"/>
          <w:lang w:eastAsia="ru-RU"/>
        </w:rPr>
        <w:t xml:space="preserve">Законе Курской области от 17.06.2002 г. № 28-ЗКО «О государственной поддержке молодежных и детских общественных объединений Курской области»;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b w:val="false"/>
          <w:bCs w:val="false"/>
          <w:iCs/>
          <w:sz w:val="28"/>
          <w:szCs w:val="28"/>
          <w:shd w:fill="auto" w:val="clear"/>
          <w:lang w:eastAsia="ru-RU"/>
        </w:rPr>
        <w:t xml:space="preserve">Законе Курской области от </w:t>
      </w:r>
      <w:r>
        <w:rPr>
          <w:rFonts w:ascii="Times New Roman" w:hAnsi="Times New Roman"/>
          <w:b w:val="false"/>
          <w:bCs w:val="false"/>
          <w:iCs/>
          <w:sz w:val="28"/>
          <w:szCs w:val="28"/>
          <w:shd w:fill="auto" w:val="clear"/>
          <w:lang w:eastAsia="ru-RU"/>
        </w:rPr>
        <w:t>28.06.2021</w:t>
      </w:r>
      <w:r>
        <w:rPr>
          <w:rFonts w:ascii="Times New Roman" w:hAnsi="Times New Roman"/>
          <w:b w:val="false"/>
          <w:bCs w:val="false"/>
          <w:iCs/>
          <w:sz w:val="28"/>
          <w:szCs w:val="28"/>
          <w:shd w:fill="auto" w:val="clear"/>
          <w:lang w:eastAsia="ru-RU"/>
        </w:rPr>
        <w:t xml:space="preserve"> г. № </w:t>
      </w:r>
      <w:r>
        <w:rPr>
          <w:rFonts w:ascii="Times New Roman" w:hAnsi="Times New Roman"/>
          <w:b w:val="false"/>
          <w:bCs w:val="false"/>
          <w:iCs/>
          <w:sz w:val="28"/>
          <w:szCs w:val="28"/>
          <w:shd w:fill="auto" w:val="clear"/>
          <w:lang w:eastAsia="ru-RU"/>
        </w:rPr>
        <w:t>45</w:t>
      </w:r>
      <w:r>
        <w:rPr>
          <w:rFonts w:ascii="Times New Roman" w:hAnsi="Times New Roman"/>
          <w:b w:val="false"/>
          <w:bCs w:val="false"/>
          <w:iCs/>
          <w:sz w:val="28"/>
          <w:szCs w:val="28"/>
          <w:shd w:fill="auto" w:val="clear"/>
          <w:lang w:eastAsia="ru-RU"/>
        </w:rPr>
        <w:t xml:space="preserve">-ЗКО </w:t>
      </w:r>
      <w:r>
        <w:rPr>
          <w:rStyle w:val="Strong"/>
          <w:rFonts w:ascii="Times New Roman" w:hAnsi="Times New Roman"/>
          <w:b w:val="false"/>
          <w:bCs w:val="false"/>
          <w:iCs/>
          <w:sz w:val="28"/>
          <w:szCs w:val="28"/>
          <w:shd w:fill="auto" w:val="clear"/>
          <w:lang w:eastAsia="ru-RU"/>
        </w:rPr>
        <w:t>«Об отдельных вопросах в сфере молодёжной политики в Курской области»;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textAlignment w:val="baseline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Постановлении Губернатора Курской области от 29.09.2006 г. № 434 «О мерах государственной поддержки талантливой молодежи»;          </w:t>
        <w:tab/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textAlignment w:val="baseline"/>
        <w:rPr/>
      </w:pPr>
      <w:r>
        <w:rPr>
          <w:rStyle w:val="Strong"/>
          <w:rFonts w:ascii="Times New Roman" w:hAnsi="Times New Roman"/>
          <w:b w:val="false"/>
          <w:bCs w:val="false"/>
          <w:iCs/>
          <w:color w:val="000000"/>
          <w:sz w:val="28"/>
          <w:szCs w:val="28"/>
          <w:shd w:fill="auto" w:val="clear"/>
          <w:lang w:eastAsia="ru-RU"/>
        </w:rPr>
        <w:t>Постановлени</w:t>
      </w:r>
      <w:r>
        <w:rPr>
          <w:rStyle w:val="Strong"/>
          <w:rFonts w:ascii="Times New Roman" w:hAnsi="Times New Roman"/>
          <w:b w:val="false"/>
          <w:bCs w:val="false"/>
          <w:iCs/>
          <w:color w:val="000000"/>
          <w:sz w:val="28"/>
          <w:szCs w:val="28"/>
          <w:shd w:fill="auto" w:val="clear"/>
          <w:lang w:eastAsia="ru-RU"/>
        </w:rPr>
        <w:t>и</w:t>
      </w:r>
      <w:r>
        <w:rPr>
          <w:rStyle w:val="Strong"/>
          <w:rFonts w:ascii="Times New Roman" w:hAnsi="Times New Roman"/>
          <w:b w:val="false"/>
          <w:bCs w:val="false"/>
          <w:iCs/>
          <w:color w:val="000000"/>
          <w:sz w:val="28"/>
          <w:szCs w:val="28"/>
          <w:shd w:fill="auto" w:val="clear"/>
          <w:lang w:eastAsia="ru-RU"/>
        </w:rPr>
        <w:t xml:space="preserve"> Губернатора Курской области от 25.09.2023 №296-пг</w:t>
      </w:r>
      <w:r>
        <w:rPr>
          <w:rFonts w:ascii="Times New Roman" w:hAnsi="Times New Roman"/>
          <w:b w:val="false"/>
          <w:bCs w:val="false"/>
          <w:iCs/>
          <w:color w:val="000000"/>
          <w:sz w:val="28"/>
          <w:szCs w:val="28"/>
          <w:shd w:fill="auto" w:val="clear"/>
          <w:lang w:eastAsia="ru-RU"/>
        </w:rPr>
        <w:t xml:space="preserve"> «О создании Совета молодых учёных и студенческих научных обществ Курской области»;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textAlignment w:val="baseline"/>
        <w:rPr>
          <w:rFonts w:ascii="Times New Roman" w:hAnsi="Times New Roman"/>
          <w:sz w:val="24"/>
          <w:szCs w:val="24"/>
          <w:shd w:fill="FFFFFF" w:val="clear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Постановлении Губернатора Курской области от 18.11.2010 г. № 432-пг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 xml:space="preserve">«Об учреждении премии Губернатора Курской области в области науки и инноваций для молодых ученых и специалистов»;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textAlignment w:val="baseline"/>
        <w:rPr/>
      </w:pP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Закон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а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Курской области от 14.12.2020 №100-ЗКО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 — 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«О Стратегии социально-экономического развития Курской области на период до 2030 года».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Согласно указанным документам важнейшим фактором устойчивого развития страны и города, роста благосостояния ее граждан и совершенствования общественных отношений является эффективная    молодежная политика.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Основными приоритетами муниципальной политики в сфере реализации Подпрограммы являются: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вовлечение молодежи в социальную практику и ее информирование о потенциальных возможностях саморазвития, обеспечение поддержки талантливой, научной, творческой и предпринимательской активности молодежи;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формирование инструментов по гражданско-патриотическому воспитанию молодежи, содействие формированию правовых, культурных и нравственных ценностей среди молодежи.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 Цели и задачи  в сфере молодежной политики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Целью Подпрограммы является </w:t>
      </w:r>
      <w:r>
        <w:rPr>
          <w:rFonts w:ascii="Times New Roman" w:hAnsi="Times New Roman"/>
          <w:bCs/>
          <w:sz w:val="28"/>
          <w:szCs w:val="28"/>
          <w:lang w:eastAsia="ru-RU"/>
        </w:rPr>
        <w:t>создание возможностей для успешной социализации и эффектив</w:t>
      </w:r>
      <w:r>
        <w:rPr>
          <w:rFonts w:ascii="Times New Roman" w:hAnsi="Times New Roman"/>
          <w:sz w:val="28"/>
          <w:szCs w:val="28"/>
          <w:lang w:eastAsia="ru-RU"/>
        </w:rPr>
        <w:t>ной самореализации молодых людей.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Задачи Подпрограммы: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-создание условий по поддержке талантливой молодежи;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-создание условий для вовлечения молодежи в активную общественную деятельность;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-гражданско-патриотическое воспитание и допризывная подготовка молодежи;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Перечень и характеристики основных мероприятий Подпрограммы 1   с указанием сроков их реализации и ожидаемых результатов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Подпрограммы  предусматривается реализация основных мероприятий: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Основное мероприятие 1. «Создание условий для вовлечения молодежи в активную общественную деятельность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color w:val="000000"/>
          <w:sz w:val="28"/>
          <w:szCs w:val="28"/>
          <w:lang w:eastAsia="ru-RU"/>
        </w:rPr>
        <w:t>В рамках основного мероприятия будут проводиться</w:t>
      </w:r>
      <w:r>
        <w:rPr>
          <w:rFonts w:eastAsia="HiddenHorzOCR" w:ascii="Times New Roman" w:hAnsi="Times New Roman"/>
          <w:sz w:val="28"/>
          <w:szCs w:val="28"/>
          <w:lang w:eastAsia="ru-RU"/>
        </w:rPr>
        <w:t xml:space="preserve"> различные фестивали, молодежные проекты, программы, конкурсы, акции, ярмарки, спортивно — развлекательные программы, молодежные марафоны, благотворительные утренники, экологические субботники. Будут проводиться  конференции, форумы, Вахты памяти, интеллектуально — познавательные, спортивные игры, проекты,  экскурсии, митинги, вечера, фотовыставки</w:t>
      </w:r>
      <w:r>
        <w:rPr>
          <w:rFonts w:eastAsia="HiddenHorzOCR" w:ascii="Times New Roman" w:hAnsi="Times New Roman"/>
          <w:spacing w:val="-6"/>
          <w:sz w:val="28"/>
          <w:szCs w:val="28"/>
          <w:lang w:eastAsia="ru-RU"/>
        </w:rPr>
        <w:t xml:space="preserve">, мероприятия, праздники, конкурсы, патриотической направленности, сборы и соревнования ВПК, автопробег, акции, участие в областных соревнованиях и фестивалях.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В ходе реализации данного основного мероприятия будут достигнуты следующие результаты: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увеличится удельный вес численности молодых людей возрасте от 14 до 35 лет, участвующих в добровольческой деятельности, в общем количестве молодежи в районе;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-увеличится удельный вес численности молодых людей в возрасте от 14 до 35 лет, вовлеченных в реализуемые   проекты и программы в сфере поддержки талантливой молодежи, в общем количестве молодежи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увеличится численность детей и молодежи, участвующих в мероприятиях гражданско-патриотической направленности в общем, количестве молодежи района</w:t>
      </w:r>
      <w:r>
        <w:rPr>
          <w:rFonts w:eastAsia="HiddenHorzOCR" w:ascii="Times New Roman" w:hAnsi="Times New Roman"/>
          <w:sz w:val="28"/>
          <w:szCs w:val="28"/>
          <w:lang w:eastAsia="ru-RU"/>
        </w:rPr>
        <w:tab/>
        <w:t>Результативность реализации мероприятия будет способствовать созданию возможностей для успешной социализации и эффективной самореализации молодых людей.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Срок реализации основного мероприятий  — 2026 — 2028 годы.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основных мероприятий Подпрограммы представлен в приложении № 1 к муниципальной программе. 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Подпрограмма реализуется в один этап в 2026-202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8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годах.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Основные меры  правового регулирования в соответствующей сфере, направленные на достижение цели и ожидаемых результатов  Подпрограммы 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рамках Подпрограммы осуществляется работа по обеспечению своевременной ее корректировки, внесение изменений в правовые акты в сфере ее реализации.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разработки муниципальных правовых актов муниципального района будет определяться в процессе реализации Подпрограммы с учетом изменений законодательства Российской Федерации и Курской области.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Оценка достижения целей подпрограммы </w:t>
      </w:r>
      <w:r>
        <w:rPr>
          <w:rFonts w:ascii="Times New Roman" w:hAnsi="Times New Roman"/>
          <w:bCs/>
          <w:sz w:val="28"/>
          <w:szCs w:val="28"/>
          <w:lang w:eastAsia="ru-RU"/>
        </w:rPr>
        <w:t>«П</w:t>
      </w:r>
      <w:r>
        <w:rPr>
          <w:rFonts w:ascii="Times New Roman" w:hAnsi="Times New Roman"/>
          <w:sz w:val="28"/>
          <w:szCs w:val="28"/>
          <w:lang w:eastAsia="ru-RU"/>
        </w:rPr>
        <w:t xml:space="preserve">овышение эффективности реализации молодежной политики» муниципальной программы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производится посредством следующих показателей: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удельный вес численности молодых людей возрасте от 14 до 35 лет, участвующих в добровольческой деятельности, в общем количестве молодежи в районе;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удельный вес численности молодых людей в возрасте от 14 до 35 лет, вовлеченных в реализуемые   проекты и программы в сфере поддержки талантливой молодежи, в общем количестве молодежи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численность детей и молодежи, участвующих в мероприятиях гражданско-патриотической направленности в общем, количестве молодежи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целевых показателях (индикаторах) Подпрограммы представлены в приложении № 2 к муниципальной программе.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 xml:space="preserve">4. Перечень и сведения о целевых индикаторах и показателях Подпрограммы 2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Значения указанных целевых показателей (индикаторов) определяются следующим образом: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удельный вес численности молодых людей в возрасте от 14 до 35 лет, принимающих участие в добровольческой деятельности, в общей численности молодежи Горшеченского района в возрасте от 14 до 35 лет.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Показывает, какой процент граждан города в возрасте от 14 до 35 лет ежегодно принимает участие  в добровольческой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Целевой показатель определяется как отношение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численности молодых людей в возрасте от 14 до 35 лет,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принимающих участие в добровольческой деятельности</w:t>
      </w:r>
      <w:r>
        <w:rPr>
          <w:rFonts w:ascii="Times New Roman" w:hAnsi="Times New Roman"/>
          <w:bCs/>
          <w:sz w:val="28"/>
          <w:szCs w:val="28"/>
          <w:lang w:eastAsia="ru-RU"/>
        </w:rPr>
        <w:t>, в общей численности молодых людей в возрасте  от 14 до 35 лет, проживающих на территории района: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определяется по формуле: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В/А*100%, где: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– численность молодых людей в возрасте от 14 до 35 лет,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принимающих участие в добровольческой деятельности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 – общая численность молодых людей возрасте от 14 до 35 лет, проживающих на территории района, человек.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- удельный вес численности молодых людей в возрасте от 14 до 35 лет, вовлеченных в реализуемые проекты и программы в сфере поддержки талантливой молодежи, в общем количестве молодежи района в возрасте от 14 до 35 лет.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Целевой показатель определяется как отношение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численности молодых людей в возрасте от 14 до 35 лет,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вовлеченных в реализуемые   проекты и программы в сфере поддержки талантливой молодежи</w:t>
      </w:r>
      <w:r>
        <w:rPr>
          <w:rFonts w:ascii="Times New Roman" w:hAnsi="Times New Roman"/>
          <w:bCs/>
          <w:sz w:val="28"/>
          <w:szCs w:val="28"/>
          <w:lang w:eastAsia="ru-RU"/>
        </w:rPr>
        <w:t>, в общей численности молодых людей в возрасте от 14 до 35 лет, проживающих на территории Горшеченского района: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определяется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В/А*100%, где: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– численность молодых людей в возрасте от 14 до 35 лет,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вовлеченных в реализуемые проекты и программы в сфере поддержки талантливой молодежи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 – общая численность молодых людей от 14 до 35 лет, проживающих на территории района.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- численность детей и молодежи,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участвующих в мероприятиях гражданско-патриотической направленности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в общем числе количестве молодежи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Целевой показатель определяется количеством детей и молодежи, участвующих в мероприятиях гражданско-патриотической направленности в общей численности детей и молодежи, проживающих на территории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Значение целевых показателей (индикаторов) за отчетный период определяется путем мониторинга, проводимого Отделом по вопросам культуры, молодежи, физической культуры и спорта Администрации Горшеченского района, включающего в себя сбор и анализ информации о выполнении показателей.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В целом в результате реализации Подпрограммы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Основной общественно значимый результат реализации настоящей Подпрограммы - предупреждение потерь «человеческого капитала».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 Подпрограммы будет способствовать созданию необходимых условий для повышения эффективности молодежной политики.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реализации Подпрограммы предусматривается оказание муниципальной услуги (выполнение работ) отделом по вопросам культуры, молодежи, физической культуры и спорта Администрации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Муниципальная услуга (работы) включает: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выполнение работ по вовлечению молодежи в социальную практику, включая патриотическое воспитание и добровольческое движение.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Указанные муниципальные услуги (работы) способствуют реализации комплекса основных мероприятий, включенных в Подпрограмму, и направлены на достижение её цели.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5</w:t>
      </w:r>
      <w:r>
        <w:rPr>
          <w:rFonts w:ascii="Times New Roman" w:hAnsi="Times New Roman"/>
          <w:bCs/>
          <w:kern w:val="2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 xml:space="preserve"> Информация по финансовому обеспечению Подпрограммы 2 за счет средств бюджета муниципального района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Общий объем финансирования по Подпрограмме «Повышение эффективности реализации молодежной политики» за счет средств бюджета муниципального района составит </w:t>
      </w:r>
      <w:r>
        <w:rPr>
          <w:rFonts w:ascii="Times New Roman" w:hAnsi="Times New Roman"/>
          <w:b/>
          <w:sz w:val="28"/>
          <w:szCs w:val="28"/>
          <w:lang w:eastAsia="ru-RU"/>
        </w:rPr>
        <w:t>550 000 рублей</w:t>
      </w:r>
      <w:r>
        <w:rPr>
          <w:rFonts w:ascii="Times New Roman" w:hAnsi="Times New Roman"/>
          <w:sz w:val="28"/>
          <w:szCs w:val="28"/>
          <w:lang w:eastAsia="ru-RU"/>
        </w:rPr>
        <w:t>, в том числе по годам: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2026 году –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150 000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>рублей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2027 году – 200 000 рублей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2028 году – 200 000 рублей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Ресурсное обеспечение реализации основных мероприятий Подпрограммы за счет средств бюджета муниципального района приведено в приложении № 5.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Ресурсное обеспечение и прогнозная (справочная) оценка расходов местного бюджета, представлены в приложении № 6.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Объем финансирования Подпрограммы носит плановый характер и может быть откорректирован, исходя из возможностей бюджета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84" w:leader="none"/>
          <w:tab w:val="center" w:pos="4819" w:leader="none"/>
        </w:tabs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6. Характеристика текущего состояния соответствующей сферы социально – экономического развития Горшеченского района, основные показатели и анализ социальных, финансовых – экономических и прочих рисков  реализацииПодпрограммы 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настоящий момент имеется необходимость, и возможность принятия Подпрограммы как инструмента координации в Горшеченском районе реализации мер по работе с молодыми людьми, как между различными ведомствами, так и между федеральными, региональными и местными уровнями власти.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Сегодня в Горшеченском районе молодежь в возрасте от 14 до 35 лет проживает более 3000 чел.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Это наиболее динамично развивающаяся категория населения и от её позитивного настроя, социальной активности и духовного благополучия зависит успех проводимых преобразований, общее развитие района в целом. Именно поэтому работа с молодежью в районе  должна быть нацелена на формирование у молодежи позитивной мотивации развития, активное включение молодежи в социальную практику.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Но, в связи с отсутствием   комплексного подхода к решению проблем молодежи, в настоящий момент появились некоторые негативные тенденции.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Первая тенденция — низкий уровень вовлеченности молодежи в социальную практику. Это тенденция проявляется во всех сферах жизни молодого человека — гражданской, профессиональной, культурной, семейной. При сохранении такой ситуации возникает угроза социальной инфантильности как нормы, что в последствии может ограничить возможности развития района, в том числе из-за сокращения экономически активного населения.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Вместе с тем молодежь обладает значительным потенциалом, который используется не в полной мере — мобильностью, инициативностью, восприимчивостью к новым изменениям, новым технологиям, способностью противодействовать негативным вызовам.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Большое внимание нужно уделять патриотическому воспитанию молодежи. Необходимо серьезно обновить эту работу, не забывая и традиционные методы, такие как военно-патриотические игры, которые востребованы сегодня. Они вырабатывают командный дух, сильный характер и формируют навыки поведения в самых сложных условиях.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Вторая тенденция — низкий уровень формирования ценностей здорового образа жизни в молодежной среде. В целях сохранения здоровья молодого поколения необходимо решать задачи по первичной профилактике негативных явлений в молодежной среде.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Перечисленные проблемы требуют системного решения, так как проявляются во всех сферах жизнедеятельности молодежи и свидетельствуют о необходимости продолжения работы программными методами.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Принципиальная особенность Подпрограммы заключается в постановке и решении задач по обеспечению активного вовлечения молодежи в жизнь района, области, страны, что требует новых методов и технологий формирования и реализации Подпрограммы, соответствующего ресурсного обеспечения.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7. Прогноз развития соответствующей  сферы социально-экономического развития Горшеченского района и планируемые  макроэкономические показатели по итогам реализации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Подпрограммы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В целом в результате реализации Подпрограммы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Основной общественно значимый результат реализации настоящей Подпрограммы - предупреждение потерь «человеческого капитала».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Результатом реализации Подпрограммы станет наличие разнообразных возможностей для самовыражения молодых людей всех категорий, повышение социальной активности, активное участие в жизни общества, предупреждение деструктивного поведения.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Подпрограммы будут обеспечены следующие результаты: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увеличится удельный вес численности молодых людей возрасте от 14 до 35 лет, участвующих в добровольческой деятельности, в общем количестве молодежи в районе;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-увеличится удельный вес численности молодых людей в возрасте от 14 до 35 лет, вовлеченных в реализуемые   проекты и программы в сфере поддержки талантливой молодежи, в общем количестве молодежи района;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увеличится численность детей и молодежи, участвующих в мероприятиях гражданско-патриотической направленности в общем, количестве молодежи района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HiddenHorzOCR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8. Описание  мер муниципального регулирования в сфере  реализации Подпрограммы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Для оценки достижения цели Подпрограммы необходимо учитывать макроэкономические, финансовые, операционные, социальные риски. Анализ общих рисков, описание мер управления рисками, методика оценки эффективности приведены в общей части муниципальной 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sz w:val="28"/>
          <w:szCs w:val="28"/>
          <w:lang w:eastAsia="ru-RU"/>
        </w:rPr>
        <w:t>Финансово-экономические риски связаны с сокращением в ходе реализации Подпрограммы предусмотренных объемов бюджетных средств. Это потребует внесения изменений в Подпрограмму, пересмотра целевых значений показателей, и, возможно, отказ от реализации отдельных мероприятий и даже задач Подпрограммы.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  <w:t>Социальные риски связаны с вероятностью повышения социальной напряженности среди населения из-за неполной или недостоверной информации о реализуемых мероприятиях. Управление данной группой рисков будет обеспечено за счет открытости и прозрачности планов мероприятий и практических действий, информационного сопровождения.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48"/>
          <w:szCs w:val="4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9. Методика оценки эффективности Подпрограммы 2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Методика оценки эффективности муниципальной подпрограммы (далее – Методика) представляет собой алгоритм оценки в процессе (по годам программы) и по итогам реализации муниципальной подпрограммы в целом как результативности подпрограммы,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объемов ресурсов, направленных на  реализацию муниципальной подпрограммы.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Методика включает проведение количественных оценок эффективности по следующим направлениям: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Степень достижения запланированных результатов (достижения целей и решения задач, запланированных программных мероприятий) подпрограммы (оценка результативности).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Степень реализации основных мероприятий (достижения ожидаемых непосредственных результатов их реализации) муниципальной подпрограммы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Степень соответствия фактических затрат бюджета муниципального района и запланированного уровня (эффективность использования средств бюджета района, оценка полноты использования бюджетных средств) и привлечение дополнительных средств для реализации подпрограммных мероприятий.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дополнение к количественной оценке эффективности производится качественная оценка социальной эффективности муниципальной подпрограммы на основе анализа достижения ожидаемых результатов подпрограммы. Оценка эффективности реализации муниципальной подпрограммы включает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муниципальной подпрограммы.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результативности по каждому показателю муниципальной подпрограммы проводится по формуле: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Ei</m:t>
        </m:r>
        <m:r>
          <w:rPr>
            <w:rFonts w:ascii="Cambria Math" w:hAnsi="Cambria Math"/>
          </w:rPr>
          <m:t xml:space="preserve">=</m:t>
        </m:r>
        <m:f>
          <m:num>
            <m:r>
              <m:rPr>
                <m:lit/>
                <m:nor/>
              </m:rPr>
              <w:rPr>
                <w:rFonts w:ascii="Cambria Math" w:hAnsi="Cambria Math"/>
              </w:rPr>
              <m:t xml:space="preserve">Tfi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 xml:space="preserve">TNi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eastAsia="Batang" w:ascii="Times New Roman" w:hAnsi="Times New Roman"/>
          <w:sz w:val="28"/>
          <w:szCs w:val="28"/>
          <w:lang w:eastAsia="ko-KR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Ei – степень достижения  i - показателя подпрограммы (процентов);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Tfi – фактическое значение показателя;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TNi – установленное подпрограммой целевое значение показателя.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Степень выполнения подпрограммных мероприятий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tbl>
      <w:tblPr>
        <w:tblW w:w="9399" w:type="dxa"/>
        <w:jc w:val="center"/>
        <w:tblInd w:w="0" w:type="dxa"/>
        <w:tblLayout w:type="fixed"/>
        <w:tblCellMar>
          <w:top w:w="0" w:type="dxa"/>
          <w:left w:w="75" w:type="dxa"/>
          <w:bottom w:w="0" w:type="dxa"/>
          <w:right w:w="75" w:type="dxa"/>
        </w:tblCellMar>
        <w:tblLook w:val="00a0"/>
      </w:tblPr>
      <w:tblGrid>
        <w:gridCol w:w="2057"/>
        <w:gridCol w:w="1334"/>
        <w:gridCol w:w="4900"/>
        <w:gridCol w:w="1107"/>
      </w:tblGrid>
      <w:tr>
        <w:trPr/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Формулировка критерия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right="-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Весовой коэффициент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Градации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(Ei – степень достижения  i - показателя программы (процентов))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Балльная оценка</w:t>
            </w:r>
          </w:p>
        </w:tc>
      </w:tr>
      <w:tr>
        <w:trPr/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Степень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выполнения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запланированных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подпрограммных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100%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более 80%, но менее 100%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более 50%, но менее 80%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менее 50%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результативности реализации муниципальной подпрограммы в целом проводится по формуле: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E</m:t>
        </m:r>
        <m:r>
          <w:rPr>
            <w:rFonts w:ascii="Cambria Math" w:hAnsi="Cambria Math"/>
          </w:rPr>
          <m:t xml:space="preserve">=</m:t>
        </m:r>
        <m:f>
          <m:num>
            <m:nary>
              <m:naryPr>
                <m:chr m:val="∑"/>
              </m:naryPr>
              <m:sub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</m:t>
                </m:r>
              </m:sub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>Ei</m:t>
                </m:r>
              </m:e>
            </m:nary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 - результативность реализации подпрограммы (процентов);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n - количество показателей подпрограммы, единиц.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оценки степени достижения запланированных результатов муниципальной подпрограммы устанавливаются следующие критерии: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равно или больше 80 %, степень достижения запланированных результатов муниципальной подпрограммы оценивается как высокая;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равно или больше 50 %, но меньше 80 %, степень достижения запланированных результатов муниципальной подпрограммы оценивается как удовлетворительная;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меньше 50 %, степень достижения запланированных результатов муниципальной подпрограммы оценивается как неудовлетворительная.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полноты использования бюджетных средств производится отношением фактических затрат бюджета района на реализацию муниципальной подпрограммы к запланированному уровню по следующей формуле: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П</m:t>
        </m:r>
        <m:r>
          <w:rPr>
            <w:rFonts w:ascii="Cambria Math" w:hAnsi="Cambria Math"/>
          </w:rPr>
          <m:t xml:space="preserve">=</m:t>
        </m:r>
        <m:f>
          <m:num>
            <m:r>
              <m:rPr>
                <m:lit/>
                <m:nor/>
              </m:rPr>
              <w:rPr>
                <w:rFonts w:ascii="Cambria Math" w:hAnsi="Cambria Math"/>
              </w:rPr>
              <m:t xml:space="preserve">ЗФ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 xml:space="preserve">ЗП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 – полнота использования бюджетных средств;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ЗФ– фактические расходы бюджета района на реализацию подпрограммы в соответствующем периоде;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ЗП– запланированные бюджетом района расходы на реализацию подпрограммы в соответствующей периоде.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целях оценки степени соответствия фактических затрат бюджета района на реализацию подпрограммы к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и значение показателя полноты использования бюджетных средств П равны или больше 80 %, то степень соответствия фактических затрат бюджета района на реализацию подпрограммы запланированному уровню оценивается как удовлетворительная;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значения показателя результативности E меньше 80 %, а значение показателя полноты использования бюджетных средств П меньше 100 %, то степень соответствия фактических затрат бюджета района на реализацию подпрограммы запланированному уровню оценивается как неудовлетворительная.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эффективности использования средств бюджета муниципального райорна на реализацию муниципальной подпрограммы производится по следующей формуле: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Э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П</m:t>
            </m:r>
          </m:num>
          <m:den>
            <m:r>
              <w:rPr>
                <w:rFonts w:ascii="Cambria Math" w:hAnsi="Cambria Math"/>
              </w:rPr>
              <m:t xml:space="preserve">Е</m:t>
            </m:r>
          </m:den>
        </m:f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 – эффективность использования средств бюджета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 – показатель полноты использования бюджетных средств;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 – показатель результативности реализации подпрограммы.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целях оценки эффективности использования средств бюджета муниципального района при реализации муниципальной подпрограммы устанавливаются следующие критерии: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эффективность использования средств бюджета муниципального района Э равно 1, то такая эффективность оценивается как соответствующая запланированной;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эффективность использования средств бюджета муниципального района Э меньше 1, то такая эффективность оценивается как высокая;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эффективность использования средств бюджета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HiddenHorzOCR"/>
          <w:bCs/>
          <w:sz w:val="28"/>
          <w:szCs w:val="28"/>
          <w:lang w:eastAsia="ru-RU"/>
        </w:rPr>
      </w:pPr>
      <w:r>
        <w:rPr>
          <w:rFonts w:eastAsia="HiddenHorzOCR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Приложение №3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к муниципальной  программе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«Повышение эффективности работы с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молодежью, организация отдыха и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оздоровления детей, молодежи, развитие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физической культуры и спорта в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Горшеченском районе Курской области»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Подпрограммы 3 «Реализация муниципальной политики в сфере физической культуры и спорта»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W w:w="9720" w:type="dxa"/>
        <w:jc w:val="left"/>
        <w:tblInd w:w="-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624"/>
        <w:gridCol w:w="6095"/>
      </w:tblGrid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>Отдел по вопросам культуры, молодежи, физической культуры и спорта Администрации Горшеченского района</w:t>
            </w:r>
          </w:p>
        </w:tc>
      </w:tr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отдел образования Администрации Горшеченского района;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муниципальные образования Горшеченского района</w:t>
            </w:r>
          </w:p>
        </w:tc>
      </w:tr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>Создание условий, обеспечивающих повышение мотивации жителей Горшеченского района к регулярным занятиям физической культурой и спортом и ведению здорового образа жизни.</w:t>
            </w:r>
          </w:p>
        </w:tc>
      </w:tr>
      <w:tr>
        <w:trPr>
          <w:trHeight w:val="1613" w:hRule="atLeast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-совершенствование системы физического воспитания различных категорий и групп населения;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-реализация комплексных мер по развитию спорта в учреждениях и на предприятиях Горшеченского района;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эффективности пропаганды физической культуры и спорта.</w:t>
            </w:r>
          </w:p>
        </w:tc>
      </w:tr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показатели (индикаторы)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жителей Горшеченского района, занимающихся физической культурой и спортом по месту работы, в общей численности населения;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-доля учащихся и работающей молодёжи систематически занимающихся физической культурой и спортом, в общей численности учащихся и работающей молодёжи;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-доля физкультурно-спортивных мероприятий среди учащихся, обучающихся, работающей молодёжи и населения, занимающегося физической культурой и спортом по месту работы,  включенных в план официальных физкультурно - спортивных мероприятий Горшеченского района.</w:t>
            </w:r>
          </w:p>
        </w:tc>
      </w:tr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Подпрограмма реализуется в один этап в 2026-2028 годах</w:t>
            </w:r>
          </w:p>
        </w:tc>
      </w:tr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на реализацию мероприятий Подпрограммы, предполагаемых за счет средств бюджета Горшеченского района, устанавливается и утверждается решением Представительного Собрания Горшеченского района  на очередной финансовый год и плановый период.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Общий - объем финансирования по Подпрограмме «Реализации муниципальной политики в сфере физической культуры и спорта» составит 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37 598 783 рублей, в том числе по годам: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 xml:space="preserve">в 2026 году – 13 578 799 </w:t>
            </w:r>
            <w:r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2027 году – 12 009 992 рубл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2028 году - 12 009 992 рубля</w:t>
            </w:r>
          </w:p>
        </w:tc>
      </w:tr>
      <w:tr>
        <w:trPr/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Основным ожидаемым конечным результатом реализации Подпрограммы является устойчивое развитие физической культуры и массового спорта в Горшеченском районе, что характеризуется ростом количественных показателей и качественной оценкой изменений, происходящих в сфере физической культуры и массового спорта.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итогам реализации Подпрограммы ожидается: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- увеличение доли жителей Горшеченского района, занимающихся физической культурой и спортом по месту работы, в общей численности населения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 xml:space="preserve">, с 59,8 % в 2026 году до 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64,8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 xml:space="preserve"> % в 202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 xml:space="preserve"> году;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- увеличение доли учащихся и работающей молодёжи, систематически занимающихся физической культурой и спортом, в общей численности учащихся и работающей молодёжи;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- увеличение доли физкультурно-спортивных мероприятий среди учащихся, обучающихся, работающей молодёжи и населения, занимающегося физической культурой и спортом по месту работы,  включенных в план официальных физкультурно - спортивных мероприятий Горшеченского района.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 Приоритеты, цели и задачи муниципальной политики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 сфере реализации Подпрограммы 3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 Приоритеты муниципальной политики в сфере реализации Подпрограммы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 приоритетным направлением муниципальной политики в сфере развития физической культуры и массового спорта в Горшеченском районе является вовлечение жителей Горшеченского района в регулярные занятия физической культурой и спортом, прежде всего детей и молодежи. Для этого Подпрограммой предусматривается: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развитие инфраструктуры для занятий массовым спортом, по месту жительства и работы, увеличение числа спортивных сооружений;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оказание информационной поддержки населению в целях популяризации физической культуры и спорта, здорового образа и спортивного стиля жизни;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развитие системы проведения физкультурных и спортивных мероприятий;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осуществление комплекса мер по пропаганде физической культуры и спорта.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 Цели и задачи муниципальной политики в сфере реализации Подпрограммы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Целью Подпрограммы является создание условий, обеспечивающих повышение мотивации жителей Горшеченского района к регулярным занятиям физической культурой и спортом и ведению здорового образа жизни.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Достижение данной цели будет обеспечиваться решением следующих основных задач: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совершенствование системы физического воспитания различных категорий и групп населения;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-реализация комплексных мер по развитию спорта в учебных заведениях, в учреждениях и на предприятиях Горшеченского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-повышение эффективности пропаганды физической культуры и спорта.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 Перечень  и характеристики основных мероприятий Подпрограммы 3 с указанием сроков их реализации и ожидаемых результатов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>Для достижения целей Программы и реализации запланированных ею мероприятий в структуру Программы включена: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Подпрограмма 3 </w:t>
      </w:r>
      <w:r>
        <w:rPr>
          <w:rFonts w:ascii="Times New Roman" w:hAnsi="Times New Roman"/>
          <w:sz w:val="28"/>
          <w:szCs w:val="28"/>
          <w:lang w:eastAsia="ru-RU"/>
        </w:rPr>
        <w:t>«Реализация муниципальной политики в сфере физической культуры и спорта».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>В рамках Подпрограммы предусматривается реализация основного мероприятия.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1.1 «Создание условий, обеспечивающих повышение мотивации жителей района к регулярным занятиям физической культурой и спортом и введению здорового образа жизни» 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основного мероприятия будет проводиться работа  по обеспечению организации и проведению физкультурных и массовых спортивных мероприятий, мероприятия по привлечению населения к занятиям физической культуры и спортом (мероприятия по физическому воспитанию учащихся и студентов, взрослого населения и привлечению их к систематическим занятиям физической культурой и массовым спортом, здоровому образу жизни; мероприятия по совершенствованию организации и проведению на территории Горшеченского района районных, межрайонных, региональных,  физкультурных мероприятий среди различных категорий и групп населения; проведение физкультурных и спортивно-массовых мероприятий, включенных в план официальных физкультурных и спортивных мероприятий Горшеченского района; проведение информационно-просветительских мероприятий по популяризации физической культуры и массового спорта, здорового образа жизни, а также спортивного стиля жизни, в том числе с привлечением ведущих спортивных специалистов, спортсменов, политиков, общественных деятелей).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>Ожидаемые конечные результаты реализации Подпрограммы 3 характеризуются улучшением количественных и качественных показателей в сфере физической культуры и массового спорта.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 ожидаемым результатом Подпрограммы является: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совершенствование системы физического воспитания;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рост числа занимающихся физической культурой и спортом жителей Горшеченского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развитие сети спортивных сооружений, доступной для различных категорий и групп населения;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рост количества участников спортивно-массовых и физкультурных мероприятий;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увеличение количества спортивных соревнований среди учащихся, студентов, работающей молодёжи и населения.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 Подпрограммы позволит привлечь к систематическим занятиям физической культурой и спортом и приобщить к здоровому образу жизни население Горшеченского района, что окажет положительное влияние на улучшение качества жизни жителей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Подпрограмма реализуется в один этап в 2026-2028 годах.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Основные меры правого регулирования в соответствующей сфере, направленные на достижение цели и ожидаемых результатов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Подпрограммы 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рамках Подпрограммы осуществляется деятельность, направленная на обеспечение своевременной корректировки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Подпрограммы </w:t>
      </w:r>
      <w:r>
        <w:rPr>
          <w:rFonts w:ascii="Times New Roman" w:hAnsi="Times New Roman"/>
          <w:sz w:val="28"/>
          <w:szCs w:val="28"/>
          <w:lang w:eastAsia="ru-RU"/>
        </w:rPr>
        <w:t>внесению изменений в муниципальные правовые акты Горшеченского района в сфере ее реализации.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Необходимость разработки муниципальных правовых актов администрации Горшеченского района будет определяться в процессе реализации Подпрограммы с учетом изменений законодательства Российской Федерации.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 Перечень  и сведения о целевых индикаторах и показателях Подпрограммы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"/>
          <w:sz w:val="28"/>
          <w:szCs w:val="28"/>
          <w:lang w:eastAsia="ru-RU"/>
        </w:rPr>
        <w:t>Показатели (индикаторы) достижения целей и решения задач.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соответствии с установленными целевыми ориентирами в сфере физической культуры и массового спорта для оценки хода реализации мероприятий и степени решения поставленных задач в Подпрограмме используются следующие целевые показатели (индикаторы):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доля жителей Горшеченского района, занимающихся физической культурой и спортом, в общей численности населения района.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целевых показателях (индикаторах) Подпрограммы представлены в приложении № 6 к муниципальной программе.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Значения указанных целевых показателей (индикаторов) определяются следующим образом.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Доля жителей Горшеченского района, занимающихся физической культурой и спортом по месту работы, в общей численности населения, определяется по формуле:</w:t>
      </w:r>
    </w:p>
    <w:p>
      <w:pPr>
        <w:pStyle w:val="Normal"/>
        <w:spacing w:lineRule="atLeast" w:line="36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Дт= Чзт/ Чнт х 100, 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Дт - доля жителей Горшеченского района, занимающихся физической культурой и спортом, в общей численности населения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Чзт - численность жителей района, занимающихся физической культурой и спортом, согласно данным федерального статистического наблюдения по </w:t>
      </w:r>
      <w:hyperlink r:id="rId2">
        <w:r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форме № 1-ФК</w:t>
        </w:r>
      </w:hyperlink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Чнт - численность населения Горшеченского района, занятого в экономике по данным Федеральной службы государственной статистики.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016" w:leader="none"/>
          <w:tab w:val="center" w:pos="4819" w:leader="none"/>
        </w:tabs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 Информация по финансовому обеспечению Подпрограммы 3 за счет средств бюджета муниципального района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Реализации муниципальной политики в сфере физической культуры и спорта» составит: </w:t>
      </w:r>
      <w:r>
        <w:rPr>
          <w:rFonts w:ascii="Times New Roman" w:hAnsi="Times New Roman"/>
          <w:b/>
          <w:sz w:val="28"/>
          <w:szCs w:val="28"/>
          <w:lang w:eastAsia="ru-RU"/>
        </w:rPr>
        <w:t>37 598 783 рублей</w:t>
      </w:r>
      <w:r>
        <w:rPr>
          <w:rFonts w:ascii="Times New Roman" w:hAnsi="Times New Roman"/>
          <w:sz w:val="28"/>
          <w:szCs w:val="28"/>
          <w:lang w:eastAsia="ru-RU"/>
        </w:rPr>
        <w:t>, в том числе по годам: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2026 году – 13 578 799 рублей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в 2027 году – 12 009 992 рублей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в 2028 году – 12 009 992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>рублей</w:t>
      </w:r>
      <w:r>
        <w:rPr>
          <w:rFonts w:ascii="Times New Roman" w:hAnsi="Times New Roman"/>
          <w:color w:val="FF0000"/>
          <w:sz w:val="28"/>
          <w:szCs w:val="28"/>
          <w:shd w:fill="auto" w:val="clear"/>
          <w:lang w:eastAsia="ru-RU"/>
        </w:rPr>
        <w:t xml:space="preserve">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>Объем финансирования подпрограммы носит плановый характер и может быть откорректирован, исходя из возможностей бюджета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84" w:leader="none"/>
          <w:tab w:val="center" w:pos="4819" w:leader="none"/>
        </w:tabs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6. Характеристика текущего состояния соответствующей сферы социально – экономического развития Горшеченского района, основные показатели и анализ социальных, финансовых – экономических и прочих рисков  реализацииПодпрограммы 3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84" w:leader="none"/>
          <w:tab w:val="center" w:pos="4819" w:leader="none"/>
        </w:tabs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Успешное развитие физической культуры и массового спорта имеет приоритетное значение для укрепления здоровья жителей Горшеченского района, повышения качества их жизни и, в связи с этим, является одним из ключевых факторов, обеспечивающих устойчивое социально-экономическое развитие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в Горшеченском районе условий, обеспечивающих повышение мотивации жителей к регулярным занятиям физической культурой и спортом и ведению здорового образа жизни, является одним из приоритетных направлений муниципальной политики в сфере физической культуры и спорта в Горшеченском районе.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её достижения в настоящей Подпрограмме предусмотрены мероприятия по: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физическому воспитанию, обеспечению организации проведения физкультурных и спортивно-массовых мероприятий, развитию детского и молодежного спорта;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вовлечению населения в занятия физической культурой и спортом;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развитию инфраструктуры сферы физической культуры и спорта, совершенствованию финансового обеспечения физкультурно-спортивной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Несмотря на позитивную динамику развития физической культуры, и массового спорта, сохраняют актуальность проблемные вопросы, связанные с повышением мотивации граждан к систематическим занятиям физической культурой и спортом, ведению здорового образа жизни.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соответствии с государственной программой Российской Федерации «Развитие физической культуры и спорта» требуется повысить обеспеченность населения различными объектами спорта почти в 2 раза. Пропаганда сознательного отношения к выбору образа жизни с использованием передовых информационных технологий имеет ключевое значение для повышения мотивации жителей  Горшеченского района к систематическим занятиям физической культурой и спортом, отказу от вредных привычек и зависимостей. Поэтому в основу пропаганды здорового образа жизни будет положено комплексное продвижение положительного имиджа занятий физической культурой и спортом, подкрепленное примером ведущих спортсменов.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 Прогноз развития соответствующей сферы социально-экономического развития Горшеченского района и планируемые макроэкономические показатели по итогам реализации Подпрограммы 3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итогам реализации Подпрограммы ожидается достижение следующих показателей (индикаторов):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-увеличение доли жителей Горшеченского района, занимающихся физической культурой и спортом по месту работы, в общей численности населения, занятого в экономике с</w:t>
      </w:r>
      <w:r>
        <w:rPr>
          <w:rFonts w:ascii="Times New Roman" w:hAnsi="Times New Roman"/>
          <w:sz w:val="28"/>
          <w:szCs w:val="28"/>
        </w:rPr>
        <w:t xml:space="preserve"> 54,8 % в 2026 году до 57,3 % в 2027 году;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-увеличение доли физкультурно-спортивных мероприятий среди учащихся, обучающихся, работающей молодёжи и населения, занимающегося физической культурой и спортом по месту работы,  включенных в план официальных физкультурно - спортивных мероприятий Горшеченского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8. Методика оценки эффективности Подпрограммы 3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Методика оценки эффективности муниципальной подпрограммы (далее – Методика) представляет собой алгоритм оценки в процессе (по годам программы) и по итогам реализации муниципальной подпрограммы в целом как результативности подпрограммы,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объемов ресурсов, направленных на  реализацию муниципальной подпрограммы.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Методика включает проведение количественных оценок эффективности по следующим направлениям: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Степень достижения запланированных результатов (достижения целей и решения задач, запланированных программных мероприятий) подпрограммы (оценка результативности).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Степень реализации основных мероприятий (достижения ожидаемых непосредственных результатов их реализации) муниципальной подпрограммы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Степень соответствия фактических затрат бюджета Горшеченского района и запланированного уровня (эффективность использования средств бюджета Горшеченского района, оценка полноты использования бюджетных средств) и привлечение дополнительных средств для реализации подпрограммных мероприятий.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дополнение к количественной оценке эффективности производится качественная оценка социальной эффективности муниципальной подпрограммы на основе анализа достижения ожидаемых результатов подпрограммы. Оценка эффективности реализации муниципальной подпрограммы включает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муниципальной подпрограммы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Приложение № 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к муниципальной  программе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«Повышение эффективности работы с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молодежью, организация отдыха и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оздоровления детей, молодежи, развитие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физической культуры и спорта в</w:t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Горшеченском районе Курской области»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Подпрограммы 4 «Оздоровление и отдых детей»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</w:r>
    </w:p>
    <w:tbl>
      <w:tblPr>
        <w:tblW w:w="9571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886"/>
        <w:gridCol w:w="5684"/>
      </w:tblGrid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вопросам культуры, молодежи, физической культуры и спорта Администрации Горшеченского района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отдел образования Администрации Горшеченского района;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муниципальные образования Горшеченского района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ОМВД России по Горшеченскому району</w:t>
            </w:r>
          </w:p>
        </w:tc>
      </w:tr>
      <w:tr>
        <w:trPr/>
        <w:tc>
          <w:tcPr>
            <w:tcW w:w="3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Задачи  подпрограммы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оздоровления и отдыха детей Горшеченского района в загородных лагерях и лагерях с дневным пребыванием, в профильных лагерях, в санаторно- курортных учреждениях, содержание районного лагеря «Солнышко»</w:t>
            </w:r>
          </w:p>
        </w:tc>
      </w:tr>
      <w:tr>
        <w:trPr>
          <w:trHeight w:val="1271" w:hRule="atLeast"/>
        </w:trPr>
        <w:tc>
          <w:tcPr>
            <w:tcW w:w="3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 количества детей Горшеченского района  Курской области, оздоровленных  в каникулярное время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 (индикаторы)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- доля населения возрастной категории от 7 до 18 лет, получивших услугу по оздоровлению и отдыху на базе стационарных загородных лагерей;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доля населения возрастной категории от 7 до 15 лет, получивших услугу по оздоровлению и отдыху на базе муниципальных образовательных учреждений Горшеченского района (лагеря с дневным пребыванием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Подпрограмма реализуется в один этап в 2026-2028 годах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объем финансирования по Подпрограмме«Оздоровление и отдых детей» за счет средств бюджета муниципального района составит 4 552 248 рублей, в том числе по годам: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2026 году – 2 790 248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2027 году – 881 000 рублей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2028 году -  881 000  рублей</w:t>
            </w:r>
          </w:p>
        </w:tc>
      </w:tr>
      <w:tr>
        <w:trPr/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подпрограммы будет способствовать созданию необходимых условий для обеспечения достижения целей, решения задач и выполнения показателей (индикаторов) муниципальной программы Горшеченского района Курской области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 в Горшеченском районе Курской области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доля населения возрастной категории от 7 до 18 лет, получивших услугу по оздоровлению и отдыху в базе стационарных учреждений (загородные лагеря)</w:t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- доля населения возрастной категории от 7 до 15 лет, получивших услугу по оздоровлению и отдыху на базе муниципальных образовательных  учреждений (лагеря с дневным пребыванием)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  Приоритеты и цели  муниципальной политики, в том числе общие требования к политике в соответствующей сфере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 Приоритеты муниципальной политики.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соответствии со Стратегией социально-экономического развития Курской области на период до 2030 года </w:t>
      </w:r>
      <w:r>
        <w:rPr>
          <w:rFonts w:ascii="Times New Roman" w:hAnsi="Times New Roman"/>
          <w:bCs/>
          <w:sz w:val="28"/>
          <w:szCs w:val="28"/>
          <w:lang w:eastAsia="ru-RU"/>
        </w:rPr>
        <w:t>(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lang w:eastAsia="ru-RU"/>
        </w:rPr>
        <w:t>Закон Курской области от 14.12.2020 №100-ЗКО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lang w:eastAsia="ru-RU"/>
        </w:rPr>
        <w:t>)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иными стратегическими документами, такими как: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Федеральным законом от 24 июля 1998 г. № 124-ФЗ «Об основных гарантиях прав ребенка в Российской Федерации;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12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Федеральны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м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 закон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ом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 от 21.12.2021 №414-ФЗ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 — 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«Об общих принципах организации публичной власти в субъектах Российской Федерации»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.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ar-SA"/>
        </w:rPr>
        <w:t>Федеральным законом от 06.10.2003 г. № 131-ФЗ «Об общих принципах</w:t>
      </w:r>
      <w:r>
        <w:rPr>
          <w:rFonts w:ascii="Times New Roman" w:hAnsi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Федерации»;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  <w:shd w:fill="auto" w:val="clear"/>
          <w:lang w:eastAsia="ru-RU"/>
        </w:rPr>
        <w:t>Указ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shd w:fill="auto" w:val="clear"/>
          <w:lang w:eastAsia="ru-RU"/>
        </w:rPr>
        <w:t>ом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shd w:fill="auto" w:val="clear"/>
          <w:lang w:eastAsia="ru-RU"/>
        </w:rPr>
        <w:t xml:space="preserve"> Президента РФ от 31.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shd w:fill="auto" w:val="clear"/>
          <w:lang w:eastAsia="ru-RU"/>
        </w:rPr>
        <w:t>12.201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shd w:fill="auto" w:val="clear"/>
          <w:lang w:eastAsia="ru-RU"/>
        </w:rPr>
        <w:t>5 г. № 683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ru-RU"/>
        </w:rPr>
        <w:t> 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shd w:fill="auto" w:val="clear"/>
          <w:lang w:eastAsia="ru-RU"/>
        </w:rPr>
        <w:t xml:space="preserve">«О Стратегии национальной 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безопасности Российской Федерации»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  </w:t>
      </w:r>
    </w:p>
    <w:p>
      <w:pPr>
        <w:pStyle w:val="Normal"/>
        <w:tabs>
          <w:tab w:val="clear" w:pos="708"/>
          <w:tab w:val="left" w:pos="567" w:leader="none"/>
          <w:tab w:val="left" w:pos="9354" w:leader="none"/>
        </w:tabs>
        <w:spacing w:lineRule="auto" w:line="240" w:before="0" w:after="0"/>
        <w:ind w:right="-1"/>
        <w:jc w:val="both"/>
        <w:rPr>
          <w:color w:val="00000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  <w:lang w:eastAsia="ru-RU"/>
        </w:rPr>
        <w:t>Постановлением</w:t>
      </w:r>
      <w:r>
        <w:rPr>
          <w:rFonts w:ascii="Times New Roman" w:hAnsi="Times New Roman"/>
          <w:iCs/>
          <w:color w:val="000000"/>
          <w:sz w:val="28"/>
          <w:szCs w:val="28"/>
          <w:shd w:fill="auto" w:val="clear"/>
          <w:lang w:eastAsia="ru-RU"/>
        </w:rPr>
        <w:t xml:space="preserve"> Губернатора Курской области от 17.01.2013 г. № 9-па «Об организации отдыха, оздоровления и занятости детей, подростков и молодежи</w:t>
      </w:r>
      <w:r>
        <w:rPr>
          <w:rFonts w:ascii="Times New Roman" w:hAnsi="Times New Roman"/>
          <w:iCs/>
          <w:color w:val="000000"/>
          <w:sz w:val="28"/>
          <w:szCs w:val="28"/>
          <w:shd w:fill="auto" w:val="clear"/>
          <w:lang w:eastAsia="ru-RU"/>
        </w:rPr>
        <w:t xml:space="preserve">»;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  <w:lang w:eastAsia="ru-RU"/>
        </w:rPr>
        <w:t>Закон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lang w:eastAsia="ru-RU"/>
        </w:rPr>
        <w:t>а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lang w:eastAsia="ru-RU"/>
        </w:rPr>
        <w:t xml:space="preserve"> Курской области от 14.12.2020 №100-ЗКО</w:t>
      </w:r>
      <w:r>
        <w:rPr>
          <w:rFonts w:ascii="Times New Roman" w:hAnsi="Times New Roman"/>
          <w:b w:val="false"/>
          <w:bCs w:val="false"/>
          <w:sz w:val="28"/>
          <w:szCs w:val="28"/>
          <w:lang w:eastAsia="ru-RU"/>
        </w:rPr>
        <w:t> 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lang w:eastAsia="ru-RU"/>
        </w:rPr>
        <w:t>«О Стратегии социально-экономического развития Курской области на период до 2030 года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к приоритетным направлениям государственной политики в области социальной поддержки отнесено повышение эффективности организации оздоровления и отдыха детей, в том числе путем усиления адресности путевки, совершенствования процедур проверки нуждаемости граждан. 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Указанные приоритеты направлены на повышение качества отдыха и оздоровления детей; обеспечение адресной поддержки семей с детьми, формирование системы социальной поддержки и адаптации; создание доступных механизмов «социального лифта» для всех, в том числе для социально уязвимых категорий населения.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 Цели и задачи Подпрограммы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Основной целью Подпрограммы является развитие системы оздоровления и отдыха детей Горшеченского района  в загородных лагерях и лагерях с дневным пребыванием для реализации муниципальной программы Горшеченского района «Повышение эффективности работы с молодежью, организация отдыха и оздоровления детей, молодежи, развитие физической культуры и спорта в Горшеченском районе Курской области».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Достижение поставленной цели будет обеспечено посредством решения задач по обеспечению эффективной деятельностью Отдела по вопросам культуры, молодежи, физической культуры и спорта Администрации Горшеченского района, как исполнителя Подпрограммы и Отдела образования Администрации Горшеченского района, как участника подпрограммы ««Оздоровление и отдых детей».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Основная задача Подпрограммы: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увеличение количества детей Горшеченского района  Курской области, оздоровленных в каникулярное время.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Перечень и характеристики основных мероприятий Подпрограммы 4   с указанием сроков их реализации и ожидаемых результатов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Для решения основной задачи в рамках подпрограммы «Оздоровление и отдых детей» будут реализованы следующие основные мероприятия: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Основное мероприятие </w:t>
      </w:r>
      <w:r>
        <w:rPr>
          <w:rFonts w:ascii="Times New Roman" w:hAnsi="Times New Roman"/>
          <w:sz w:val="28"/>
          <w:szCs w:val="28"/>
          <w:lang w:eastAsia="ru-RU"/>
        </w:rPr>
        <w:t>1. Содействие развитию системы оздоровления и отдыха детей»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решения вышеперечисленных мероприятий в рамках подпрограммы «Оздоровление и отдых» будут реализованы следующие 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предоставление субсидий бюджету муниципального образования «Горшеченский район» Курской области на софинансирование расходных обязательств, связанных с организацией отдыха детей в каникулярное время;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организация специализированных видов отдыха;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участие в мероприятиях направленных на организацию оздоровления и отдыха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питание, услуги по организации питания, а так же оплата набора продуктов в школьных лагерях.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содержание районного лагеря «Солнышко»</w:t>
      </w:r>
    </w:p>
    <w:p>
      <w:pPr>
        <w:pStyle w:val="Normal"/>
        <w:tabs>
          <w:tab w:val="clear" w:pos="708"/>
          <w:tab w:val="left" w:pos="8040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Предоставление субсидий из областного бюджета бюджету муниципального образования «Горшеченский район» на софинансирование расходных обязательств, связанных с организацией отдыха детей в каникулярное время осуществляется в соответствии с Правилами предоставления субсидий из областного бюджета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Подпрограмму предусматривается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реализовать в 202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6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-202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8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 годах </w:t>
      </w:r>
      <w:r>
        <w:rPr>
          <w:rFonts w:ascii="Times New Roman" w:hAnsi="Times New Roman"/>
          <w:sz w:val="28"/>
          <w:szCs w:val="28"/>
          <w:lang w:eastAsia="ru-RU"/>
        </w:rPr>
        <w:t>в один этап.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Основные меры  правового регулирования в соответствующей сфере, направленные на достижение цели и ожидаемых результатов  Подпрограммы 4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рамках Подпрограммы осуществляется работа по обеспечению своевременной ее корректировки, внесение изменений в правовые акты в сфере ее реализации.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Необходимость разработки правовых актов будет определяться в процессе реализации Подпрограммы в соответствии с изменениями законодательства Российской Федерации и Курской области.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оценки достижения цели подпрограммы 4 «Оздоровление и отдых детей»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муниципальной программы Горшеченского района Курской области </w:t>
      </w:r>
      <w:r>
        <w:rPr>
          <w:rFonts w:ascii="Times New Roman" w:hAnsi="Times New Roman"/>
          <w:sz w:val="28"/>
          <w:szCs w:val="28"/>
          <w:lang w:eastAsia="ru-RU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в Горшеченском районе Курской области» необходимо учитывать макроэкономические, финансовые, операционные, социальные риски. Анализ общих рисков, описание мер управления рисками, методика оценки эффективности приведены в общей части подпрограммы.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реализации Подпрограммы 4 возможно возникновение риска невыполнения мероприятий и недостижении запланированных результатов в случае сокращения объемов бюджетного финансирования Подпрограммы.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Важным фактором снижения данного риска является эффективное бюджетное планирование. Управление рисками реализации Подпрограммы будет осуществляться на основе действующего законодательства Российской Федерации и Курской области в сфере деятельности министерства внутренней и молодежной политики Курской области.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Также существуют информационные риски в рамках Подпрограммы «Оздоровление и отдых детей» </w:t>
      </w:r>
      <w:r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 Горшеченского района</w:t>
      </w:r>
      <w:r>
        <w:rPr>
          <w:rFonts w:ascii="Times New Roman" w:hAnsi="Times New Roman"/>
          <w:sz w:val="28"/>
          <w:szCs w:val="28"/>
          <w:lang w:eastAsia="ru-RU"/>
        </w:rPr>
        <w:t>, которые будут минимизироваться путем разработки предложений по совершенствованию форм отчетности сферы отдыха и оздоровления детей в целях повышения их полноты и информационной полезности.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 xml:space="preserve">4. Перечень и сведения о целевых индикаторах и показателях Подпрограммы 4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 Доля населения Горшеченского района возрастной категории от 7 до 18 лет, получивших услугу по оздоровлению и отдыху на базе стационарных загородных лагерей Курской области.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Показатель определяется как отношение количества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оздоровленных детей района  в </w:t>
      </w:r>
      <w:r>
        <w:rPr>
          <w:rFonts w:ascii="Times New Roman" w:hAnsi="Times New Roman"/>
          <w:sz w:val="28"/>
          <w:szCs w:val="28"/>
          <w:lang w:eastAsia="ru-RU"/>
        </w:rPr>
        <w:t xml:space="preserve">загородных  оздоровительных лагерях </w:t>
      </w:r>
      <w:r>
        <w:rPr>
          <w:rFonts w:ascii="Times New Roman" w:hAnsi="Times New Roman"/>
          <w:bCs/>
          <w:sz w:val="28"/>
          <w:szCs w:val="28"/>
          <w:lang w:eastAsia="ru-RU"/>
        </w:rPr>
        <w:t>Курской области к общей численности детей района возрастной категории от 7 до 18 лет.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определяется по формуле: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В/А×100%, где: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- численность оздоровленных детей Горшеченского района в </w:t>
      </w:r>
      <w:r>
        <w:rPr>
          <w:rFonts w:ascii="Times New Roman" w:hAnsi="Times New Roman"/>
          <w:sz w:val="28"/>
          <w:szCs w:val="28"/>
          <w:lang w:eastAsia="ru-RU"/>
        </w:rPr>
        <w:t xml:space="preserve">загородных оздоровительных лагерях </w:t>
      </w:r>
      <w:r>
        <w:rPr>
          <w:rFonts w:ascii="Times New Roman" w:hAnsi="Times New Roman"/>
          <w:bCs/>
          <w:sz w:val="28"/>
          <w:szCs w:val="28"/>
          <w:lang w:eastAsia="ru-RU"/>
        </w:rPr>
        <w:t>Курской области, человек;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 – общая численность детей Горшеченского района возрастной категории от 6 до 18 лет, человек.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результате реализации мероприятий Подпрограммы данный показатель к 2026 году сохранится на оптимальном уровне в соответствии с потребностью населения.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Доля населения района возрастной категории от 7 до 15 лет, получивших услугу по оздоровлению и отдыху на базе муниципальных образовательных учреждений района (лагеря с дневным пребыванием).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Показатель определяется как отношение количества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оздоровленных детей Горшеченского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в лагерях с дневным пребыванием,  </w:t>
      </w:r>
      <w:r>
        <w:rPr>
          <w:rFonts w:ascii="Times New Roman" w:hAnsi="Times New Roman"/>
          <w:bCs/>
          <w:sz w:val="28"/>
          <w:szCs w:val="28"/>
          <w:lang w:eastAsia="ru-RU"/>
        </w:rPr>
        <w:t>возрастной категории от 7 до 15 лет к общей численности детей района в возрасте от 7 до 15 лет.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определяется по формуле: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В/А×100 %, где: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- численность оздоровленных детей Горшеченского района </w:t>
      </w:r>
      <w:r>
        <w:rPr>
          <w:rFonts w:ascii="Times New Roman" w:hAnsi="Times New Roman"/>
          <w:sz w:val="28"/>
          <w:szCs w:val="28"/>
          <w:lang w:eastAsia="ru-RU"/>
        </w:rPr>
        <w:t>в лагерях с дневным пребыванием в возрасте от 7 до 15 лет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 – общая численность детей района в возрасте от 7 до 15 лет, 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результате реализации мероприятий Подпрограммы данный показатель к </w:t>
      </w:r>
      <w:r>
        <w:rPr>
          <w:rFonts w:ascii="Times New Roman" w:hAnsi="Times New Roman"/>
          <w:bCs/>
          <w:sz w:val="28"/>
          <w:szCs w:val="28"/>
          <w:shd w:fill="auto" w:val="clear"/>
          <w:lang w:eastAsia="ru-RU"/>
        </w:rPr>
        <w:t>202</w:t>
      </w:r>
      <w:r>
        <w:rPr>
          <w:rFonts w:ascii="Times New Roman" w:hAnsi="Times New Roman"/>
          <w:bCs/>
          <w:sz w:val="28"/>
          <w:szCs w:val="28"/>
          <w:shd w:fill="auto" w:val="clear"/>
          <w:lang w:eastAsia="ru-RU"/>
        </w:rPr>
        <w:t>8</w:t>
      </w:r>
      <w:r>
        <w:rPr>
          <w:rFonts w:ascii="Times New Roman" w:hAnsi="Times New Roman"/>
          <w:bCs/>
          <w:sz w:val="28"/>
          <w:szCs w:val="28"/>
          <w:shd w:fill="auto" w:val="clear"/>
          <w:lang w:eastAsia="ru-RU"/>
        </w:rPr>
        <w:t xml:space="preserve"> году сохранится на оптимальном уровне в соответствии с потребностью населения.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Исходя из системы целей Администрации Горшеченского района определена цель Подпрограммы – </w:t>
      </w:r>
      <w:r>
        <w:rPr>
          <w:rFonts w:ascii="Times New Roman" w:hAnsi="Times New Roman"/>
          <w:sz w:val="28"/>
          <w:szCs w:val="28"/>
          <w:lang w:eastAsia="ru-RU"/>
        </w:rPr>
        <w:t xml:space="preserve">создание условий, направленных на развитие системы оздоровления и отдыха детей Горшеченского района в каникулярное время. 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качестве индикаторов достижения данной цели предлагаются следующие показатели: 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1. Доля оздоровленных детей в загородных оздоровительных лагерях от числа детей района в возрасте от 7 до 18 лет.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Показатель позволяет оценить результаты реализации в районе мероприятий по оздоровлению и отдыху детей, осуществляемых в соответствии с нормативными правовыми актами Курской области и Администрацией Горшеченского района.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Данные мероприятия будут способствовать также повышению эффективности использования средств бюджета муниципального района, направляемых  на организацию отдыха детей в загородных лагерях.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 Доля оздоровленных детей в лагерях с дневным пребыванием детей от численности детей Горшеченского района  возрасте от 7  до 15 лет.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Показатель позволяет оценить результаты реализации в районе мероприятий по оздоровлению и отдыху детей в каникулярное время, осуществляемых в соответствии с нормативными правовыми актами Курской области и Администрации Горшеченского района.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Данные мероприятия будут способствовать также повышению эффективности использования средств бюджета муниципального района, направляемых на организацию отдыха детей в лагерях с дневным пребыванием.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целевых показателях (индикаторах) Подпрограммы представлены в приложении  к муниципальной программе.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016" w:leader="none"/>
          <w:tab w:val="center" w:pos="4819" w:leader="none"/>
        </w:tabs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 Информация по финансовому обеспечению Подпрограммы 4 за счет средств бюджета муниципального района</w:t>
      </w:r>
    </w:p>
    <w:p>
      <w:pPr>
        <w:pStyle w:val="Normal"/>
        <w:tabs>
          <w:tab w:val="clear" w:pos="708"/>
          <w:tab w:val="left" w:pos="2016" w:leader="none"/>
          <w:tab w:val="center" w:pos="4819" w:leader="none"/>
        </w:tabs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по Подпрограмме «Оздоровление и отдых детей» за счет средств бюджета муниципального района составит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4 552 248р</w:t>
      </w:r>
      <w:r>
        <w:rPr>
          <w:rFonts w:ascii="Times New Roman" w:hAnsi="Times New Roman"/>
          <w:b/>
          <w:sz w:val="28"/>
          <w:szCs w:val="28"/>
          <w:lang w:eastAsia="ru-RU"/>
        </w:rPr>
        <w:t>ублей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 по годам: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2026 году – 2 790 248 рублей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2027 году – 881 000 рублей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2028 году – 881 000 рублей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84" w:leader="none"/>
          <w:tab w:val="center" w:pos="4819" w:leader="none"/>
        </w:tabs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6. Характеристика текущего состояния соответствующей сферы социально – экономического развития Горшеченского района, основные показатели и анализ социальных, финансовых – экономических и прочих рисков  реализацииПодпрограммы 4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оздоровления и отдыха детей Горшеченского района является одной из функций Отдела по вопросам культуры, молодежи, физической культуры и спорта Администрации Горшеченского района Курской области, направленной на поддержание и повышение уровня жизни молодого населения Горшеченского района в возрасте от 7 до 18 лет, а также данной категории  детей и подростков, находящихся в категории трудной жизненной ситуации.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Совместная работа министерства внутренней и молодежной политики Курской области и муниципального образования «Горшеченский район» Курской области по организации оздоровления и отдыха детей Горшеченского района  Курской области определяется Соглашением о предоставлении субсидий бюджету муниципального образования «Горшеченский район» Курской области на софинансирование расходных обязательств, связанных с организацией отдыха детей в каникулярное время.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Обязательства сторон по данному Соглашению определяют порядок работы в сфере оздоровления, целевого подбора и направления детей в учреждения отдыха и оздоровления в каникулярное время, формирования и предоставления отчетности.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Качество отдыха и оздоровления детей определяется комплексным обеспечением следующих требований: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Доступность получения путевок: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обеспечен равный доступ всех семей к получению путевок вне зависимости от работодателей и социального положения родителей;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расширена возрастная категория оздоравливаемых детей; Администрация Курской области установила для оздоровления и отдыха возрастной норматив детей от 7 до 18 лет в соответствии с Федеральным законом от 24.07.1998 г. №124-ФЗ «Об основных гарантиях прав ребенка в Российской Федерации».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2. Увеличение количества оздоравливаемых в загородных стационарных лагерях  Курской области  и  лагерях  с дневным пребыванием: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качественно изменилась структура оздоровления и отдыха детей в связи с тем, что одним из основных направлений с 2010 года стала организация отдыха детей в загородных лагерях и лагерях с дневным пребыванием.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 Прогноз развития соответствующей  сферы социально-экономического развития Горшеченского района и планируемые  макроэкономические показатели по итогам реализации Подпрограммы 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 Подпрограммы будет способствовать созданию необходимых условий для обеспечения достижения целей, решения задач и выполнения показателей (индикаторов) муниципальной программы Горшеченского района Курской области</w:t>
      </w: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 в Горшеченском районе Курской области»: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доля населения возрастной категории от 7 до 18 лет получивших услугу по оздоровлению и отдыху на базе стационарных загородных лагерей Курской области.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доля населения возрастной категории от 7 до 15 лет, получивших услугу по оздоровлению и отдыху на базе муниципальных образовательных учреждений (лагеря с дневным пребыванием).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8. Методика оценки эффективности Подпрограммы 4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bCs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Методика оценки эффективности муниципальной подпрограммы (далее – Методика) представляет собой алгоритм оценки в процессе (по годам программы) и по итогам реализации муниципальной подпрограммы в целом как результативности подпрограммы,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объемов ресурсов, направленных на  реализацию муниципальной подпрограммы.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Методика включает проведение количественных оценок эффективности по следующим направлениям: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Степень достижения запланированных результатов (достижения целей и решения задач, запланированных программных мероприятий) подпрограммы (оценка результативности).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Степень реализации основных мероприятий (достижения ожидаемых непосредственных результатов их реализации) муниципальной подпрограммы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Степень соответствия фактических затрат бюджета муниципального района и запланированного уровня (эффективность использования средств бюджета района, оценка полноты использования бюджетных средств) и привлечение дополнительных средств для реализации подпрограммных мероприятий.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дополнение к количественной оценке эффективности производится качественная оценка социальной эффективности муниципальной подпрограммы на основе анализа достижения ожидаемых результатов подпрограммы. Оценка эффективности реализации муниципальной подпрограммы включает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муниципальной подпрограммы.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результативности по каждому показателю муниципальной подпрограммы проводится по формуле: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Ei</m:t>
        </m:r>
        <m:r>
          <w:rPr>
            <w:rFonts w:ascii="Cambria Math" w:hAnsi="Cambria Math"/>
          </w:rPr>
          <m:t xml:space="preserve">=</m:t>
        </m:r>
        <m:f>
          <m:num>
            <m:r>
              <m:rPr>
                <m:lit/>
                <m:nor/>
              </m:rPr>
              <w:rPr>
                <w:rFonts w:ascii="Cambria Math" w:hAnsi="Cambria Math"/>
              </w:rPr>
              <m:t xml:space="preserve">Tfi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 xml:space="preserve">TNi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eastAsia="Batang" w:ascii="Times New Roman" w:hAnsi="Times New Roman"/>
          <w:sz w:val="28"/>
          <w:szCs w:val="28"/>
          <w:lang w:eastAsia="ko-KR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Ei – степень достижения  i - показателя подпрограммы (процентов);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Tfi – фактическое значение показателя;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TNi – установленное подпрограммой целевое значение показателя.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Степень выполнения подпрограммных мероприятий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tbl>
      <w:tblPr>
        <w:tblW w:w="9399" w:type="dxa"/>
        <w:jc w:val="center"/>
        <w:tblInd w:w="0" w:type="dxa"/>
        <w:tblLayout w:type="fixed"/>
        <w:tblCellMar>
          <w:top w:w="0" w:type="dxa"/>
          <w:left w:w="75" w:type="dxa"/>
          <w:bottom w:w="0" w:type="dxa"/>
          <w:right w:w="75" w:type="dxa"/>
        </w:tblCellMar>
        <w:tblLook w:val="00a0"/>
      </w:tblPr>
      <w:tblGrid>
        <w:gridCol w:w="2057"/>
        <w:gridCol w:w="1334"/>
        <w:gridCol w:w="4900"/>
        <w:gridCol w:w="1107"/>
      </w:tblGrid>
      <w:tr>
        <w:trPr/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Формулировка критерия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right="-1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Весовой коэффициент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Градации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(Ei – степень достижения  i - показателя программы (процентов))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Балльная оценка</w:t>
            </w:r>
          </w:p>
        </w:tc>
      </w:tr>
      <w:tr>
        <w:trPr/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Степень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выполнения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запланированных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подпрограммных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100%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более 80%, но менее 100%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более 50%, но менее 80%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2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прошедший период выполнено менее 50%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результативности реализации муниципальной подпрограммы в целом проводится по формуле: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E</m:t>
        </m:r>
        <m:r>
          <w:rPr>
            <w:rFonts w:ascii="Cambria Math" w:hAnsi="Cambria Math"/>
          </w:rPr>
          <m:t xml:space="preserve">=</m:t>
        </m:r>
        <m:f>
          <m:num>
            <m:nary>
              <m:naryPr>
                <m:chr m:val="∑"/>
              </m:naryPr>
              <m:sub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</m:t>
                </m:r>
              </m:sub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>Ei</m:t>
                </m:r>
              </m:e>
            </m:nary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 - результативность реализации подпрограммы (процентов);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n - количество показателей подпрограммы, единиц.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оценки степени достижения запланированных результатов муниципальной подпрограммы устанавливаются следующие критерии: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равно или больше 80 %, степень достижения запланированных результатов муниципальной подпрограммы оценивается как высокая;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равно или больше 50 %, но меньше 80 %, степень достижения запланированных результатов муниципальной подпрограммы оценивается как удовлетворительная;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меньше 50 %, степень достижения запланированных результатов муниципальной подпрограммы оценивается как неудовлетворительная.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Расчет полноты использования бюджетных средств производится отношением фактических затрат бюджета района на реализацию муниципальной подпрограммы к запланированному уровню по следующей формуле: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П</m:t>
        </m:r>
        <m:r>
          <w:rPr>
            <w:rFonts w:ascii="Cambria Math" w:hAnsi="Cambria Math"/>
          </w:rPr>
          <m:t xml:space="preserve">=</m:t>
        </m:r>
        <m:f>
          <m:num>
            <m:r>
              <m:rPr>
                <m:lit/>
                <m:nor/>
              </m:rPr>
              <w:rPr>
                <w:rFonts w:ascii="Cambria Math" w:hAnsi="Cambria Math"/>
              </w:rPr>
              <m:t xml:space="preserve">ЗФ</m:t>
            </m:r>
          </m:num>
          <m:den>
            <m:r>
              <m:rPr>
                <m:lit/>
                <m:nor/>
              </m:rPr>
              <w:rPr>
                <w:rFonts w:ascii="Cambria Math" w:hAnsi="Cambria Math"/>
              </w:rPr>
              <m:t xml:space="preserve">ЗП</m:t>
            </m:r>
          </m:den>
        </m:f>
        <m:r>
          <w:rPr>
            <w:rFonts w:ascii="Cambria Math" w:hAnsi="Cambria Math"/>
          </w:rPr>
          <m:t xml:space="preserve">×</m:t>
        </m:r>
        <m:r>
          <m:rPr>
            <m:lit/>
            <m:nor/>
          </m:rPr>
          <w:rPr>
            <w:rFonts w:ascii="Cambria Math" w:hAnsi="Cambria Math"/>
          </w:rPr>
          <m:t xml:space="preserve">100%</m:t>
        </m:r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 – полнота использования бюджетных средств;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ЗФ– фактические расходы бюджета района  на реализацию подпрограммы в соответствующем периоде;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ЗП– запланированные бюджетом муниципального района расходы на реализацию подпрограммы в соответствующей периоде.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целях оценки степени соответствия фактических затрат бюджетаГоршеченского района на реализацию подпрограммы к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значение показателя результативности E и значение показателя полноты использования бюджетных средств П равны или больше 80 %, то степень соответствия фактических затрат бюджета Горшеченского района на реализацию подпрограммы запланированному уровню оценивается как удовлетворительная;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если значения показателя результативности E меньше 80 %, а значение показателя полноты использования бюджетных средств П меньше 100 %, то степень соответствия фактических затрат бюджета Горшеченского района на реализацию подпрограммы запланированному уровню оценивается как неудовлетворительная.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Расчет эффективности использования средств бюджета Горшеченского района на реализацию муниципальной подпрограммы производится по следующей формуле: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Э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П</m:t>
            </m:r>
          </m:num>
          <m:den>
            <m:r>
              <w:rPr>
                <w:rFonts w:ascii="Cambria Math" w:hAnsi="Cambria Math"/>
              </w:rPr>
              <m:t xml:space="preserve">Е</m:t>
            </m:r>
          </m:den>
        </m:f>
      </m:oMath>
      <w:r>
        <w:rPr>
          <w:rFonts w:ascii="Times New Roman" w:hAnsi="Times New Roman"/>
          <w:sz w:val="28"/>
          <w:szCs w:val="28"/>
          <w:lang w:eastAsia="ru-RU"/>
        </w:rPr>
        <w:t>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 – эффективность использования средств бюджета района;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 – показатель полноты использования бюджетных средств;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E – показатель результативности реализации подпрограммы.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6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Normal (Web)" w:locked="1" w:uiPriority="0" w:semiHidden="0" w:unhideWhenUsed="0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24f9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ing1">
    <w:name w:val="Heading 1"/>
    <w:basedOn w:val="Normal"/>
    <w:link w:val="1"/>
    <w:uiPriority w:val="99"/>
    <w:qFormat/>
    <w:rsid w:val="00ab0c43"/>
    <w:pPr>
      <w:spacing w:lineRule="auto" w:line="240"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ab0c43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styleId="2" w:customStyle="1">
    <w:name w:val="Основной текст 2 Знак"/>
    <w:link w:val="BodyText2"/>
    <w:uiPriority w:val="99"/>
    <w:semiHidden/>
    <w:qFormat/>
    <w:locked/>
    <w:rsid w:val="00ab0c43"/>
    <w:rPr>
      <w:sz w:val="24"/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ab0c43"/>
    <w:rPr>
      <w:rFonts w:ascii="Times New Roman" w:hAnsi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locked/>
    <w:rsid w:val="00ab0c43"/>
    <w:rPr>
      <w:rFonts w:ascii="Tahom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99"/>
    <w:qFormat/>
    <w:rsid w:val="00ab0c43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ab0c4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ab0c4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ab0c43"/>
    <w:rPr>
      <w:rFonts w:cs="Times New Roman"/>
      <w:color w:val="800080"/>
      <w:u w:val="single"/>
    </w:rPr>
  </w:style>
  <w:style w:type="character" w:styleId="BodyText2Char1" w:customStyle="1">
    <w:name w:val="Body Text 2 Char1"/>
    <w:basedOn w:val="DefaultParagraphFont"/>
    <w:uiPriority w:val="99"/>
    <w:semiHidden/>
    <w:qFormat/>
    <w:rsid w:val="006d2668"/>
    <w:rPr>
      <w:lang w:eastAsia="en-US"/>
    </w:rPr>
  </w:style>
  <w:style w:type="character" w:styleId="22" w:customStyle="1">
    <w:name w:val="Основной текст 2 Знак2"/>
    <w:basedOn w:val="DefaultParagraphFont"/>
    <w:uiPriority w:val="99"/>
    <w:semiHidden/>
    <w:qFormat/>
    <w:rsid w:val="00ab0c43"/>
    <w:rPr>
      <w:rFonts w:cs="Times New Roman"/>
    </w:rPr>
  </w:style>
  <w:style w:type="paragraph" w:styleId="Style14" w:customStyle="1">
    <w:name w:val="Заголовок"/>
    <w:basedOn w:val="Normal"/>
    <w:next w:val="BodyText"/>
    <w:qFormat/>
    <w:rsid w:val="001a3155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1a3155"/>
    <w:pPr>
      <w:spacing w:lineRule="auto" w:line="276" w:before="0" w:after="140"/>
    </w:pPr>
    <w:rPr/>
  </w:style>
  <w:style w:type="paragraph" w:styleId="List">
    <w:name w:val="List"/>
    <w:basedOn w:val="BodyText"/>
    <w:rsid w:val="001a3155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rsid w:val="001a31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1a3155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qFormat/>
    <w:rsid w:val="00ab0c4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11" w:customStyle="1">
    <w:name w:val="Основной текст 2 Знак Знак1"/>
    <w:basedOn w:val="Normal"/>
    <w:next w:val="BodyText2"/>
    <w:uiPriority w:val="99"/>
    <w:semiHidden/>
    <w:qFormat/>
    <w:rsid w:val="00ab0c43"/>
    <w:pPr>
      <w:spacing w:lineRule="auto" w:line="480" w:before="0" w:after="120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qFormat/>
    <w:rsid w:val="00ab0c43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Conspluscell" w:customStyle="1">
    <w:name w:val="conspluscell"/>
    <w:basedOn w:val="Normal"/>
    <w:uiPriority w:val="99"/>
    <w:qFormat/>
    <w:rsid w:val="00ab0c4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Cell1" w:customStyle="1">
    <w:name w:val="ConsPlusCell1"/>
    <w:uiPriority w:val="99"/>
    <w:qFormat/>
    <w:rsid w:val="00ab0c4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13" w:customStyle="1">
    <w:name w:val="s_13"/>
    <w:basedOn w:val="Normal"/>
    <w:uiPriority w:val="99"/>
    <w:qFormat/>
    <w:rsid w:val="00ab0c43"/>
    <w:pPr>
      <w:spacing w:lineRule="auto" w:line="240" w:before="0" w:after="0"/>
      <w:ind w:firstLine="720"/>
    </w:pPr>
    <w:rPr>
      <w:rFonts w:ascii="Times New Roman" w:hAnsi="Times New Roman"/>
      <w:sz w:val="20"/>
      <w:szCs w:val="20"/>
      <w:lang w:eastAsia="ru-RU"/>
    </w:rPr>
  </w:style>
  <w:style w:type="paragraph" w:styleId="A0" w:customStyle="1">
    <w:name w:val="a0"/>
    <w:basedOn w:val="Normal"/>
    <w:uiPriority w:val="99"/>
    <w:qFormat/>
    <w:rsid w:val="00ab0c4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uiPriority w:val="99"/>
    <w:semiHidden/>
    <w:qFormat/>
    <w:rsid w:val="00ab0c43"/>
    <w:pPr>
      <w:spacing w:lineRule="auto" w:line="480" w:before="0" w:after="120"/>
    </w:pPr>
    <w:rPr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70150658.1000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LibreOffice/7.6.0.3$Windows_X86_64 LibreOffice_project/69edd8b8ebc41d00b4de3915dc82f8f0fc3b6265</Application>
  <AppVersion>15.0000</AppVersion>
  <Pages>47</Pages>
  <Words>10440</Words>
  <Characters>75713</Characters>
  <CharactersWithSpaces>87688</CharactersWithSpaces>
  <Paragraphs>747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2026-02-02T05:10:00Z</dcterms:created>
  <dc:creator>КИНО</dc:creator>
  <dc:description/>
  <dc:language>ru-RU</dc:language>
  <cp:lastModifiedBy/>
  <cp:lastPrinted>2023-12-25T12:52:00Z</cp:lastPrinted>
  <dcterms:modified xsi:type="dcterms:W3CDTF">2026-02-02T13:36:08Z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